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93457">
      <w:pPr>
        <w:pBdr>
          <w:bottom w:val="thinThickSmallGap" w:sz="24" w:space="1" w:color="auto"/>
        </w:pBdr>
        <w:tabs>
          <w:tab w:val="left" w:pos="8640"/>
        </w:tabs>
        <w:jc w:val="center"/>
        <w:rPr>
          <w:b/>
          <w:bCs/>
          <w:smallCaps/>
          <w:sz w:val="28"/>
        </w:rPr>
      </w:pPr>
      <w:r>
        <w:rPr>
          <w:b/>
          <w:bCs/>
          <w:smallCaps/>
          <w:sz w:val="28"/>
        </w:rPr>
        <w:t xml:space="preserve">Evaluation of Steelhead Kelt </w:t>
      </w:r>
    </w:p>
    <w:p w:rsidR="00000000" w:rsidRDefault="00D93457">
      <w:pPr>
        <w:pBdr>
          <w:bottom w:val="thinThickSmallGap" w:sz="24" w:space="1" w:color="auto"/>
        </w:pBdr>
        <w:tabs>
          <w:tab w:val="left" w:pos="8640"/>
        </w:tabs>
        <w:jc w:val="center"/>
        <w:rPr>
          <w:smallCaps/>
          <w:sz w:val="28"/>
        </w:rPr>
      </w:pPr>
      <w:r>
        <w:rPr>
          <w:b/>
          <w:bCs/>
          <w:smallCaps/>
          <w:sz w:val="28"/>
        </w:rPr>
        <w:t>Project Abundance, Condition, Passage, and Conversion Rates through Lower Columbia River dams, 2001</w:t>
      </w:r>
    </w:p>
    <w:p w:rsidR="00000000" w:rsidRDefault="00D93457">
      <w:pPr>
        <w:tabs>
          <w:tab w:val="left" w:pos="8640"/>
        </w:tabs>
        <w:jc w:val="center"/>
        <w:rPr>
          <w:smallCaps/>
        </w:rPr>
      </w:pPr>
    </w:p>
    <w:p w:rsidR="00000000" w:rsidRDefault="003623AF">
      <w:pPr>
        <w:tabs>
          <w:tab w:val="left" w:pos="8640"/>
        </w:tabs>
        <w:jc w:val="center"/>
      </w:pPr>
      <w:r>
        <w:rPr>
          <w:noProof/>
        </w:rPr>
        <w:drawing>
          <wp:inline distT="0" distB="0" distL="0" distR="0">
            <wp:extent cx="5022850" cy="3273425"/>
            <wp:effectExtent l="19050" t="0" r="6350" b="0"/>
            <wp:docPr id="1" name="Picture 1" descr="IMAGES\Kelt 2001\459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Kelt 2001\4597-23.jpg"/>
                    <pic:cNvPicPr>
                      <a:picLocks noChangeAspect="1" noChangeArrowheads="1"/>
                    </pic:cNvPicPr>
                  </pic:nvPicPr>
                  <pic:blipFill>
                    <a:blip r:embed="rId7" cstate="print"/>
                    <a:srcRect/>
                    <a:stretch>
                      <a:fillRect/>
                    </a:stretch>
                  </pic:blipFill>
                  <pic:spPr bwMode="auto">
                    <a:xfrm>
                      <a:off x="0" y="0"/>
                      <a:ext cx="5022850" cy="3273425"/>
                    </a:xfrm>
                    <a:prstGeom prst="rect">
                      <a:avLst/>
                    </a:prstGeom>
                    <a:noFill/>
                    <a:ln w="9525">
                      <a:noFill/>
                      <a:miter lim="800000"/>
                      <a:headEnd/>
                      <a:tailEnd/>
                    </a:ln>
                  </pic:spPr>
                </pic:pic>
              </a:graphicData>
            </a:graphic>
          </wp:inline>
        </w:drawing>
      </w:r>
    </w:p>
    <w:p w:rsidR="00000000" w:rsidRDefault="00D93457">
      <w:pPr>
        <w:ind w:right="720"/>
        <w:rPr>
          <w:smallCaps/>
          <w:sz w:val="28"/>
        </w:rPr>
      </w:pPr>
    </w:p>
    <w:p w:rsidR="00000000" w:rsidRDefault="00D93457">
      <w:pPr>
        <w:pStyle w:val="Header"/>
        <w:tabs>
          <w:tab w:val="clear" w:pos="4320"/>
          <w:tab w:val="clear" w:pos="8640"/>
          <w:tab w:val="left" w:pos="8280"/>
        </w:tabs>
      </w:pPr>
    </w:p>
    <w:p w:rsidR="00000000" w:rsidRDefault="00D93457">
      <w:pPr>
        <w:ind w:left="720" w:hanging="720"/>
        <w:jc w:val="center"/>
      </w:pPr>
      <w:r>
        <w:t>Report of Monitoring</w:t>
      </w:r>
    </w:p>
    <w:p w:rsidR="00000000" w:rsidRDefault="00D93457">
      <w:pPr>
        <w:ind w:left="720" w:hanging="720"/>
        <w:jc w:val="center"/>
      </w:pPr>
    </w:p>
    <w:p w:rsidR="00000000" w:rsidRDefault="00D93457">
      <w:pPr>
        <w:ind w:left="720" w:hanging="720"/>
        <w:jc w:val="center"/>
      </w:pPr>
      <w:r>
        <w:t>Prepared By:</w:t>
      </w:r>
    </w:p>
    <w:p w:rsidR="00000000" w:rsidRDefault="00D93457">
      <w:pPr>
        <w:ind w:left="720" w:hanging="720"/>
        <w:jc w:val="center"/>
      </w:pPr>
      <w:r>
        <w:t xml:space="preserve">Robert H. Wertheimer, Patricia L. Madson, Mike R. Jonas, and John T. Dalen </w:t>
      </w:r>
    </w:p>
    <w:p w:rsidR="00000000" w:rsidRDefault="00D93457">
      <w:pPr>
        <w:ind w:left="720" w:hanging="720"/>
        <w:jc w:val="center"/>
      </w:pPr>
    </w:p>
    <w:p w:rsidR="00000000" w:rsidRDefault="00D93457">
      <w:pPr>
        <w:ind w:left="720" w:hanging="720"/>
        <w:jc w:val="center"/>
      </w:pPr>
      <w:r>
        <w:t>U.S. Army</w:t>
      </w:r>
      <w:r>
        <w:t xml:space="preserve"> Corps of Engineers</w:t>
      </w:r>
    </w:p>
    <w:p w:rsidR="00000000" w:rsidRDefault="00D93457">
      <w:pPr>
        <w:ind w:left="720" w:hanging="720"/>
        <w:jc w:val="center"/>
      </w:pPr>
      <w:r>
        <w:t xml:space="preserve">Portland District Fisheries Field Unit </w:t>
      </w:r>
    </w:p>
    <w:p w:rsidR="00000000" w:rsidRDefault="00D93457">
      <w:pPr>
        <w:pStyle w:val="Heading1"/>
        <w:jc w:val="center"/>
        <w:rPr>
          <w:b w:val="0"/>
          <w:sz w:val="24"/>
        </w:rPr>
      </w:pPr>
      <w:r>
        <w:rPr>
          <w:b w:val="0"/>
          <w:sz w:val="24"/>
        </w:rPr>
        <w:t>Bonneville Lock and Dam</w:t>
      </w:r>
    </w:p>
    <w:p w:rsidR="00000000" w:rsidRDefault="00D93457">
      <w:pPr>
        <w:ind w:left="720" w:hanging="720"/>
        <w:jc w:val="center"/>
      </w:pPr>
      <w:r>
        <w:t>Cascade Locks, OR 97014</w:t>
      </w:r>
    </w:p>
    <w:p w:rsidR="00000000" w:rsidRDefault="00D93457">
      <w:pPr>
        <w:ind w:left="720" w:hanging="720"/>
        <w:jc w:val="center"/>
      </w:pPr>
    </w:p>
    <w:p w:rsidR="00000000" w:rsidRDefault="00D93457">
      <w:pPr>
        <w:ind w:left="720" w:hanging="720"/>
        <w:jc w:val="center"/>
      </w:pPr>
      <w:r>
        <w:t xml:space="preserve">Prepared for: </w:t>
      </w:r>
    </w:p>
    <w:p w:rsidR="00000000" w:rsidRDefault="00D93457">
      <w:pPr>
        <w:ind w:left="720" w:hanging="720"/>
        <w:jc w:val="center"/>
      </w:pPr>
    </w:p>
    <w:p w:rsidR="00000000" w:rsidRDefault="00D93457">
      <w:pPr>
        <w:ind w:left="720" w:hanging="720"/>
        <w:jc w:val="center"/>
      </w:pPr>
      <w:r>
        <w:t>U.S. Army Corps of Engineers</w:t>
      </w:r>
    </w:p>
    <w:p w:rsidR="00000000" w:rsidRDefault="00D93457">
      <w:pPr>
        <w:ind w:left="720" w:hanging="720"/>
        <w:jc w:val="center"/>
      </w:pPr>
      <w:r>
        <w:t xml:space="preserve">Portland District </w:t>
      </w:r>
    </w:p>
    <w:p w:rsidR="00000000" w:rsidRDefault="00D93457">
      <w:pPr>
        <w:ind w:left="720" w:hanging="720"/>
        <w:jc w:val="center"/>
      </w:pPr>
      <w:r>
        <w:t>Planning and Engineering Division</w:t>
      </w:r>
    </w:p>
    <w:p w:rsidR="00000000" w:rsidRDefault="00D93457">
      <w:pPr>
        <w:ind w:left="720" w:hanging="720"/>
        <w:jc w:val="center"/>
      </w:pPr>
      <w:r>
        <w:t xml:space="preserve">Environmental Resources Branch </w:t>
      </w:r>
    </w:p>
    <w:p w:rsidR="00000000" w:rsidRDefault="00D93457">
      <w:pPr>
        <w:ind w:left="720" w:hanging="720"/>
        <w:jc w:val="center"/>
      </w:pPr>
      <w:r>
        <w:t>Robert Duncan Pla</w:t>
      </w:r>
      <w:r>
        <w:t>za</w:t>
      </w:r>
    </w:p>
    <w:p w:rsidR="00000000" w:rsidRDefault="00D93457">
      <w:pPr>
        <w:ind w:left="720" w:hanging="720"/>
        <w:jc w:val="center"/>
      </w:pPr>
      <w:r>
        <w:t>333 S.W. 1</w:t>
      </w:r>
      <w:r>
        <w:rPr>
          <w:vertAlign w:val="superscript"/>
        </w:rPr>
        <w:t>st</w:t>
      </w:r>
      <w:r>
        <w:t xml:space="preserve"> Avenue</w:t>
      </w:r>
    </w:p>
    <w:p w:rsidR="00000000" w:rsidRDefault="00D93457">
      <w:pPr>
        <w:ind w:left="720" w:hanging="720"/>
        <w:jc w:val="center"/>
      </w:pPr>
      <w:r>
        <w:t>Portland, Oregon 97204-3495</w:t>
      </w:r>
    </w:p>
    <w:p w:rsidR="00000000" w:rsidRDefault="00D93457">
      <w:pPr>
        <w:ind w:left="720" w:hanging="720"/>
        <w:jc w:val="center"/>
        <w:rPr>
          <w:b/>
        </w:rPr>
      </w:pPr>
    </w:p>
    <w:p w:rsidR="00000000" w:rsidRDefault="00D93457">
      <w:pPr>
        <w:ind w:left="720" w:hanging="720"/>
        <w:jc w:val="center"/>
      </w:pPr>
      <w:r>
        <w:rPr>
          <w:b/>
        </w:rPr>
        <w:t>December 13, 2002</w:t>
      </w:r>
    </w:p>
    <w:p w:rsidR="00000000" w:rsidRDefault="00D93457">
      <w:pPr>
        <w:ind w:left="720" w:hanging="720"/>
        <w:jc w:val="center"/>
      </w:pPr>
    </w:p>
    <w:p w:rsidR="00000000" w:rsidRDefault="00D93457">
      <w:pPr>
        <w:pStyle w:val="BodyTextIndent"/>
        <w:jc w:val="center"/>
        <w:rPr>
          <w:b/>
          <w:bCs/>
          <w:sz w:val="28"/>
        </w:rPr>
      </w:pPr>
    </w:p>
    <w:p w:rsidR="00000000" w:rsidRDefault="00D93457">
      <w:pPr>
        <w:pStyle w:val="BodyTextIndent"/>
        <w:jc w:val="center"/>
        <w:rPr>
          <w:b/>
          <w:bCs/>
          <w:sz w:val="28"/>
        </w:rPr>
      </w:pPr>
    </w:p>
    <w:p w:rsidR="00000000" w:rsidRDefault="00D93457">
      <w:pPr>
        <w:pStyle w:val="BodyTextIndent"/>
        <w:jc w:val="center"/>
        <w:rPr>
          <w:b/>
          <w:bCs/>
          <w:sz w:val="28"/>
        </w:rPr>
      </w:pPr>
    </w:p>
    <w:p w:rsidR="00000000" w:rsidRDefault="00D93457">
      <w:pPr>
        <w:pStyle w:val="BodyTextIndent"/>
        <w:jc w:val="center"/>
        <w:rPr>
          <w:b/>
          <w:bCs/>
          <w:sz w:val="28"/>
        </w:rPr>
      </w:pPr>
    </w:p>
    <w:p w:rsidR="00000000" w:rsidRDefault="00D93457">
      <w:pPr>
        <w:pStyle w:val="BodyTextIndent"/>
        <w:jc w:val="center"/>
        <w:rPr>
          <w:b/>
          <w:bCs/>
          <w:sz w:val="28"/>
        </w:rPr>
      </w:pPr>
    </w:p>
    <w:p w:rsidR="00000000" w:rsidRDefault="00D93457">
      <w:pPr>
        <w:pStyle w:val="BodyTextIndent"/>
        <w:jc w:val="center"/>
        <w:rPr>
          <w:b/>
          <w:bCs/>
          <w:sz w:val="28"/>
        </w:rPr>
      </w:pPr>
    </w:p>
    <w:p w:rsidR="00000000" w:rsidRDefault="00D93457">
      <w:pPr>
        <w:pStyle w:val="BodyTextIndent"/>
        <w:jc w:val="center"/>
        <w:rPr>
          <w:b/>
          <w:bCs/>
          <w:sz w:val="28"/>
        </w:rPr>
      </w:pPr>
    </w:p>
    <w:p w:rsidR="00000000" w:rsidRDefault="00D93457">
      <w:pPr>
        <w:pStyle w:val="BodyTextIndent"/>
        <w:jc w:val="center"/>
        <w:rPr>
          <w:b/>
          <w:bCs/>
          <w:sz w:val="36"/>
        </w:rPr>
      </w:pPr>
    </w:p>
    <w:p w:rsidR="00000000" w:rsidRDefault="00D93457">
      <w:pPr>
        <w:pStyle w:val="BodyTextIndent"/>
        <w:jc w:val="center"/>
        <w:sectPr w:rsidR="00000000">
          <w:headerReference w:type="default" r:id="rId8"/>
          <w:footerReference w:type="even" r:id="rId9"/>
          <w:footerReference w:type="default" r:id="rId10"/>
          <w:pgSz w:w="12240" w:h="15840"/>
          <w:pgMar w:top="1440" w:right="1800" w:bottom="1440" w:left="1800" w:header="720" w:footer="720" w:gutter="0"/>
          <w:pgNumType w:start="0"/>
          <w:cols w:space="720"/>
          <w:titlePg/>
          <w:docGrid w:linePitch="360"/>
        </w:sectP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pPr>
    </w:p>
    <w:p w:rsidR="00000000" w:rsidRDefault="00D93457">
      <w:pPr>
        <w:pStyle w:val="BodyTextIndent"/>
        <w:jc w:val="center"/>
        <w:rPr>
          <w:b/>
        </w:rPr>
        <w:sectPr w:rsidR="00000000">
          <w:type w:val="continuous"/>
          <w:pgSz w:w="12240" w:h="15840"/>
          <w:pgMar w:top="1440" w:right="1800" w:bottom="1440" w:left="1800" w:header="720" w:footer="720" w:gutter="0"/>
          <w:pgNumType w:start="0"/>
          <w:cols w:space="720"/>
          <w:titlePg/>
          <w:docGrid w:linePitch="360"/>
        </w:sectPr>
      </w:pPr>
    </w:p>
    <w:p w:rsidR="00000000" w:rsidRDefault="00D93457">
      <w:pPr>
        <w:pStyle w:val="BodyTextIndent"/>
        <w:ind w:left="0" w:firstLine="0"/>
        <w:jc w:val="center"/>
        <w:rPr>
          <w:b/>
          <w:caps/>
          <w:sz w:val="28"/>
          <w:u w:val="single"/>
        </w:rPr>
      </w:pPr>
      <w:r>
        <w:rPr>
          <w:b/>
          <w:caps/>
          <w:sz w:val="28"/>
          <w:u w:val="single"/>
        </w:rPr>
        <w:lastRenderedPageBreak/>
        <w:t>Executive Summary</w:t>
      </w:r>
    </w:p>
    <w:p w:rsidR="00000000" w:rsidRDefault="00D93457">
      <w:pPr>
        <w:pStyle w:val="BodyTextIndent"/>
        <w:ind w:left="0" w:firstLine="0"/>
        <w:jc w:val="center"/>
        <w:rPr>
          <w:b/>
          <w:caps/>
          <w:u w:val="single"/>
        </w:rPr>
      </w:pPr>
    </w:p>
    <w:p w:rsidR="00000000" w:rsidRDefault="00D93457">
      <w:pPr>
        <w:pStyle w:val="BodyTextIndent"/>
        <w:ind w:left="0"/>
      </w:pPr>
      <w:r>
        <w:t>We used ultrasound and radio telemetry</w:t>
      </w:r>
      <w:r>
        <w:rPr>
          <w:bCs/>
        </w:rPr>
        <w:t xml:space="preserve"> to evaluate </w:t>
      </w:r>
      <w:r>
        <w:t>the project abundance, passage routes, and conversion rates (survival) o</w:t>
      </w:r>
      <w:r>
        <w:t>f steelhead (</w:t>
      </w:r>
      <w:r>
        <w:rPr>
          <w:i/>
        </w:rPr>
        <w:t>Oncorhynchus mykiss</w:t>
      </w:r>
      <w:r>
        <w:t>) kelts (i.e., post-spawn fish that are potential repeat spawners) during their seaward migration through the Federal Columbia River Power System of the Columbia Basin.  In addition, Passive Integrated Transponder (PIT) dete</w:t>
      </w:r>
      <w:r>
        <w:t xml:space="preserve">ction technologies were used to develop baseline information on the return rates of steelhead to the Columbia River.  </w:t>
      </w:r>
      <w:proofErr w:type="gramStart"/>
      <w:r>
        <w:t>Currently, the project specific passage routes, passage rates, and returns of these fish, which may be important to stock recovery, are po</w:t>
      </w:r>
      <w:r>
        <w:t>orly understood.</w:t>
      </w:r>
      <w:proofErr w:type="gramEnd"/>
      <w:r>
        <w:t xml:space="preserve">  </w:t>
      </w:r>
    </w:p>
    <w:p w:rsidR="00000000" w:rsidRDefault="00D93457">
      <w:pPr>
        <w:pStyle w:val="BodyTextIndent"/>
        <w:ind w:left="0" w:firstLine="0"/>
      </w:pPr>
    </w:p>
    <w:p w:rsidR="00000000" w:rsidRDefault="00D93457">
      <w:pPr>
        <w:pStyle w:val="BodyTextIndent"/>
        <w:ind w:left="0"/>
        <w:rPr>
          <w:b/>
        </w:rPr>
      </w:pPr>
      <w:r>
        <w:t xml:space="preserve">In 2001, drought conditions persisted, causing limited periods of spill.  Thus, we compare </w:t>
      </w:r>
      <w:proofErr w:type="gramStart"/>
      <w:r>
        <w:t>kelt</w:t>
      </w:r>
      <w:proofErr w:type="gramEnd"/>
      <w:r>
        <w:t xml:space="preserve"> travel routes and rates under spill and no-spill scenarios.  We also examine the efficacy of an experimental bypass concept (occlusion) in g</w:t>
      </w:r>
      <w:r>
        <w:t>uiding kelts into the ice and trash sluiceway (ITS) at The Dalles Dam.  The objectives of this study were to determine kelt:  1) abundance and condition for McNary and John Day dams, 2) downstream travel times, 3) times and routes of dam passage, 4) projec</w:t>
      </w:r>
      <w:r>
        <w:t xml:space="preserve">t passage efficiencies and effectiveness 5) system conversion rates (through the I-205 bridge; ~5 mile east of Portland Or.), and 6) return rates of steelhead to the Columbia River.  </w:t>
      </w:r>
    </w:p>
    <w:p w:rsidR="00000000" w:rsidRDefault="00D93457">
      <w:pPr>
        <w:pStyle w:val="BodyTextIndent"/>
        <w:ind w:left="0" w:firstLine="0"/>
      </w:pPr>
    </w:p>
    <w:p w:rsidR="00000000" w:rsidRDefault="00D93457">
      <w:pPr>
        <w:pStyle w:val="BodyText2"/>
        <w:tabs>
          <w:tab w:val="clear" w:pos="0"/>
          <w:tab w:val="left" w:pos="-720"/>
        </w:tabs>
        <w:outlineLvl w:val="9"/>
      </w:pPr>
      <w:r>
        <w:rPr>
          <w:b/>
        </w:rPr>
        <w:t xml:space="preserve">General: </w:t>
      </w:r>
      <w:r>
        <w:rPr>
          <w:bCs/>
        </w:rPr>
        <w:t>Ultrasound images of steelhead visceral anatomies were used to</w:t>
      </w:r>
      <w:r>
        <w:rPr>
          <w:bCs/>
        </w:rPr>
        <w:t xml:space="preserve"> differentiate pre-spawn fallbacks from kelts at McNary and John Day dams from April through June of 2001.  Kelts at McNary, and John Day that were in good or fair condition</w:t>
      </w:r>
      <w:r>
        <w:rPr>
          <w:rStyle w:val="FootnoteReference"/>
          <w:bCs/>
        </w:rPr>
        <w:footnoteReference w:id="1"/>
      </w:r>
      <w:r>
        <w:rPr>
          <w:bCs/>
        </w:rPr>
        <w:t xml:space="preserve"> were radio tagged </w:t>
      </w:r>
      <w:r>
        <w:t>(McNary n=53; John Day n=159)</w:t>
      </w:r>
      <w:r>
        <w:rPr>
          <w:bCs/>
        </w:rPr>
        <w:t xml:space="preserve">, PIT tagged </w:t>
      </w:r>
      <w:r>
        <w:t xml:space="preserve">(McNary n = 68; John </w:t>
      </w:r>
      <w:r>
        <w:t>Day n = 495)</w:t>
      </w:r>
      <w:r>
        <w:rPr>
          <w:bCs/>
        </w:rPr>
        <w:t>, and released back into bypass systems.  In addition, data are reported from kelts radio-tagged (n=212) and released by Columbia River Inter-Tribal Fish Commission personnel at Lower Granite Dam (</w:t>
      </w:r>
      <w:r>
        <w:t xml:space="preserve">Evans 2002).  </w:t>
      </w:r>
      <w:r>
        <w:rPr>
          <w:bCs/>
        </w:rPr>
        <w:t xml:space="preserve">  </w:t>
      </w:r>
    </w:p>
    <w:p w:rsidR="00000000" w:rsidRDefault="00D93457">
      <w:pPr>
        <w:pStyle w:val="BodyTextIndent"/>
        <w:ind w:left="0" w:firstLine="0"/>
        <w:rPr>
          <w:bCs/>
          <w:i/>
          <w:iCs/>
        </w:rPr>
      </w:pPr>
    </w:p>
    <w:p w:rsidR="00000000" w:rsidRDefault="00D93457">
      <w:pPr>
        <w:pStyle w:val="BodyTextIndent"/>
        <w:ind w:left="0" w:firstLine="0"/>
        <w:rPr>
          <w:bCs/>
          <w:i/>
          <w:iCs/>
        </w:rPr>
      </w:pPr>
      <w:r>
        <w:rPr>
          <w:bCs/>
          <w:i/>
          <w:iCs/>
        </w:rPr>
        <w:t xml:space="preserve">Abundance and Condition: </w:t>
      </w:r>
      <w:r>
        <w:rPr>
          <w:bCs/>
        </w:rPr>
        <w:t>At M</w:t>
      </w:r>
      <w:r>
        <w:rPr>
          <w:bCs/>
        </w:rPr>
        <w:t>cNary Dam, estimates produced from ultrasound examinations</w:t>
      </w:r>
      <w:r>
        <w:rPr>
          <w:rStyle w:val="FootnoteReference"/>
          <w:bCs/>
        </w:rPr>
        <w:footnoteReference w:id="2"/>
      </w:r>
      <w:r>
        <w:rPr>
          <w:bCs/>
        </w:rPr>
        <w:t xml:space="preserve"> indicate that 1,988 kelts were bypassed.  Similarly, at John Day Dam, estimates based upon ultrasound examinations indicate that 2,022 kelts traveled through the bypass.  At McNary and John Day da</w:t>
      </w:r>
      <w:r>
        <w:rPr>
          <w:bCs/>
        </w:rPr>
        <w:t>ms, 67% and 72% of kelts sampled with ultrasound were categorized as being in good or fair condition, respectively.</w:t>
      </w:r>
    </w:p>
    <w:p w:rsidR="00000000" w:rsidRDefault="00D93457">
      <w:pPr>
        <w:pStyle w:val="BodyTextIndent"/>
        <w:ind w:left="0" w:firstLine="0"/>
        <w:rPr>
          <w:bCs/>
          <w:i/>
          <w:iCs/>
        </w:rPr>
      </w:pPr>
    </w:p>
    <w:p w:rsidR="00000000" w:rsidRDefault="00D93457">
      <w:pPr>
        <w:pStyle w:val="BodyTextIndent"/>
        <w:ind w:left="0" w:firstLine="0"/>
      </w:pPr>
      <w:r>
        <w:rPr>
          <w:i/>
          <w:iCs/>
        </w:rPr>
        <w:t>Travel rates:</w:t>
      </w:r>
      <w:r>
        <w:rPr>
          <w:i/>
          <w:iCs/>
          <w:color w:val="FF0000"/>
        </w:rPr>
        <w:t xml:space="preserve"> </w:t>
      </w:r>
      <w:r>
        <w:t>Spilling water significantly increased the travel rates of kelts through the lower Columbia River.  Similarly, spilling water</w:t>
      </w:r>
      <w:r>
        <w:t xml:space="preserve"> significantly decreased forebay residence times at The Dalles and Bonneville dams.  The travel rates of kelts contacted in the free flowing reach below Bonneville Dam were double those observed in the John Day pool.  </w:t>
      </w:r>
    </w:p>
    <w:p w:rsidR="00000000" w:rsidRDefault="00D93457">
      <w:pPr>
        <w:pStyle w:val="BodyTextIndent"/>
        <w:ind w:left="0" w:firstLine="0"/>
        <w:rPr>
          <w:i/>
          <w:iCs/>
        </w:rPr>
      </w:pPr>
    </w:p>
    <w:p w:rsidR="00000000" w:rsidRDefault="00D93457">
      <w:pPr>
        <w:pStyle w:val="BodyTextIndent"/>
        <w:ind w:left="0" w:firstLine="0"/>
        <w:rPr>
          <w:i/>
          <w:iCs/>
        </w:rPr>
      </w:pPr>
    </w:p>
    <w:p w:rsidR="00000000" w:rsidRDefault="00D93457">
      <w:pPr>
        <w:pStyle w:val="BodyTextIndent"/>
        <w:ind w:left="0" w:firstLine="0"/>
      </w:pPr>
      <w:r>
        <w:rPr>
          <w:i/>
          <w:iCs/>
        </w:rPr>
        <w:lastRenderedPageBreak/>
        <w:t>The Dalles Dam:</w:t>
      </w:r>
      <w:r>
        <w:t xml:space="preserve"> Telemetry data docu</w:t>
      </w:r>
      <w:r>
        <w:t>ments complete passage histories</w:t>
      </w:r>
      <w:r>
        <w:rPr>
          <w:rStyle w:val="FootnoteReference"/>
        </w:rPr>
        <w:footnoteReference w:id="3"/>
      </w:r>
      <w:r>
        <w:t xml:space="preserve"> for 42% (88/212) of our kelts, and 9% (18/212) of the kelts released from Lower Granite.  </w:t>
      </w:r>
      <w:proofErr w:type="gramStart"/>
      <w:r>
        <w:t>Most (68%; 71/104) of these kelts passed during periods of spill (30% project discharge).</w:t>
      </w:r>
      <w:proofErr w:type="gramEnd"/>
      <w:r>
        <w:t xml:space="preserve">  During spill, </w:t>
      </w:r>
      <w:proofErr w:type="gramStart"/>
      <w:r>
        <w:t>kelt</w:t>
      </w:r>
      <w:proofErr w:type="gramEnd"/>
      <w:r>
        <w:t xml:space="preserve"> passage efficiency (no</w:t>
      </w:r>
      <w:r>
        <w:t>n-turbine / [non-turbine + turbine]) was 99%.  Spill efficiency (SE) was 87% (spill / [non-turbine + turbine]), and spillway effectiveness (SF) was 2.9:1 (SE / [spill discharge / project discharge]).  Kelt sluice passage efficiency was 69% (ITS / [ITS + tu</w:t>
      </w:r>
      <w:r>
        <w:t>rbine]).  Sluiceway passage was almost equal during occluded (55%; 12/22) and un-occluded periods (45%; 10/22).  All (n=12) kelts that traveled turbine units passed through under occluded conditions.</w:t>
      </w:r>
    </w:p>
    <w:p w:rsidR="00000000" w:rsidRDefault="00D93457">
      <w:pPr>
        <w:pStyle w:val="BodyTextIndent"/>
        <w:ind w:left="0" w:firstLine="0"/>
      </w:pPr>
    </w:p>
    <w:p w:rsidR="00000000" w:rsidRDefault="00D93457">
      <w:pPr>
        <w:pStyle w:val="BodyTextIndent"/>
        <w:ind w:left="0" w:firstLine="0"/>
      </w:pPr>
      <w:r>
        <w:rPr>
          <w:i/>
          <w:iCs/>
        </w:rPr>
        <w:t>Bonneville Dam:</w:t>
      </w:r>
      <w:r>
        <w:t xml:space="preserve"> Complete passage histories were produce</w:t>
      </w:r>
      <w:r>
        <w:t xml:space="preserve">d by 63% (133/212) of our radio-tagged </w:t>
      </w:r>
      <w:proofErr w:type="gramStart"/>
      <w:r>
        <w:t>kelts,</w:t>
      </w:r>
      <w:proofErr w:type="gramEnd"/>
      <w:r>
        <w:t xml:space="preserve"> and 4% (9/212) of the kelts released from Lower Granite Dam.  At Powerhouse I, </w:t>
      </w:r>
      <w:proofErr w:type="gramStart"/>
      <w:r>
        <w:t>kelt</w:t>
      </w:r>
      <w:proofErr w:type="gramEnd"/>
      <w:r>
        <w:t xml:space="preserve"> sluice passage efficiency was 89%.</w:t>
      </w:r>
      <w:r>
        <w:rPr>
          <w:color w:val="0000FF"/>
        </w:rPr>
        <w:t xml:space="preserve"> </w:t>
      </w:r>
      <w:r>
        <w:t xml:space="preserve"> At Powerhouse II, </w:t>
      </w:r>
      <w:proofErr w:type="gramStart"/>
      <w:r>
        <w:t>kelt</w:t>
      </w:r>
      <w:proofErr w:type="gramEnd"/>
      <w:r>
        <w:t xml:space="preserve"> guidance efficiency was 52% (guided / [guided + turbine]).  </w:t>
      </w:r>
      <w:r>
        <w:rPr>
          <w:bCs/>
        </w:rPr>
        <w:t xml:space="preserve">During </w:t>
      </w:r>
      <w:r>
        <w:rPr>
          <w:bCs/>
        </w:rPr>
        <w:t xml:space="preserve">37% spill at Bonneville Dam, </w:t>
      </w:r>
      <w:proofErr w:type="gramStart"/>
      <w:r>
        <w:rPr>
          <w:bCs/>
        </w:rPr>
        <w:t>kelt</w:t>
      </w:r>
      <w:proofErr w:type="gramEnd"/>
      <w:r>
        <w:rPr>
          <w:bCs/>
        </w:rPr>
        <w:t xml:space="preserve"> passage efficiency </w:t>
      </w:r>
      <w:r>
        <w:t>was</w:t>
      </w:r>
      <w:r>
        <w:rPr>
          <w:bCs/>
        </w:rPr>
        <w:t xml:space="preserve"> 84%</w:t>
      </w:r>
      <w:r>
        <w:t xml:space="preserve">.  Overall, </w:t>
      </w:r>
      <w:proofErr w:type="gramStart"/>
      <w:r>
        <w:rPr>
          <w:bCs/>
        </w:rPr>
        <w:t>kelt</w:t>
      </w:r>
      <w:proofErr w:type="gramEnd"/>
      <w:r>
        <w:rPr>
          <w:bCs/>
        </w:rPr>
        <w:t xml:space="preserve"> passage efficiency</w:t>
      </w:r>
      <w:r>
        <w:t xml:space="preserve"> was 68%.  </w:t>
      </w:r>
    </w:p>
    <w:p w:rsidR="00000000" w:rsidRDefault="00D93457">
      <w:pPr>
        <w:ind w:firstLine="720"/>
        <w:rPr>
          <w:bCs/>
          <w:color w:val="FF0000"/>
        </w:rPr>
      </w:pPr>
    </w:p>
    <w:p w:rsidR="00000000" w:rsidRDefault="00D93457">
      <w:pPr>
        <w:rPr>
          <w:u w:val="single"/>
        </w:rPr>
      </w:pPr>
      <w:r>
        <w:rPr>
          <w:i/>
          <w:iCs/>
        </w:rPr>
        <w:t>Conversion rates:</w:t>
      </w:r>
      <w:r>
        <w:t xml:space="preserve"> </w:t>
      </w:r>
      <w:r>
        <w:rPr>
          <w:bCs/>
        </w:rPr>
        <w:t>Of the 53 kelts radio tagged and released from McNary, 57% (30/53) were contacted by the sets of telemetry ‘survival gates’, which</w:t>
      </w:r>
      <w:r>
        <w:rPr>
          <w:bCs/>
        </w:rPr>
        <w:t xml:space="preserve"> spanned the Columbia River channel near Reed Island, Lady Island, and the I-205 </w:t>
      </w:r>
      <w:proofErr w:type="gramStart"/>
      <w:r>
        <w:rPr>
          <w:bCs/>
        </w:rPr>
        <w:t>bridge</w:t>
      </w:r>
      <w:proofErr w:type="gramEnd"/>
      <w:r>
        <w:rPr>
          <w:bCs/>
        </w:rPr>
        <w:t>.  Similarly, of the 159 kelts released at John Day Dam 65% (104/159) were detected by these gates.  Only 3% (7/212) of kelts released at Lower Granite Dam were contacte</w:t>
      </w:r>
      <w:r>
        <w:rPr>
          <w:bCs/>
        </w:rPr>
        <w:t xml:space="preserve">d by these gates.     </w:t>
      </w:r>
    </w:p>
    <w:p w:rsidR="00000000" w:rsidRDefault="00D93457">
      <w:pPr>
        <w:ind w:firstLine="720"/>
      </w:pPr>
    </w:p>
    <w:p w:rsidR="00000000" w:rsidRDefault="00D93457">
      <w:r>
        <w:rPr>
          <w:i/>
          <w:iCs/>
        </w:rPr>
        <w:t>Preliminary return rates:</w:t>
      </w:r>
      <w:r>
        <w:t xml:space="preserve"> As of September 2002, adult PIT-detectors at Bonneville, McNary and Lower Granite dams have documented returns by ~ 7.6% (43/563) of our PIT-tagged kelts.  Return rates of kelts PIT tagged at McNary are cur</w:t>
      </w:r>
      <w:r>
        <w:t xml:space="preserve">rently at 10.3% (7/68), while rates from kelts released at John Day are at 7.2% (36/495).  </w:t>
      </w:r>
    </w:p>
    <w:p w:rsidR="00000000" w:rsidRDefault="00D93457">
      <w:pPr>
        <w:rPr>
          <w:b/>
          <w:bCs/>
        </w:rPr>
      </w:pPr>
    </w:p>
    <w:p w:rsidR="00000000" w:rsidRDefault="00D93457">
      <w:r>
        <w:rPr>
          <w:b/>
          <w:bCs/>
        </w:rPr>
        <w:t xml:space="preserve">Summary:  </w:t>
      </w:r>
      <w:r>
        <w:t>Data from 2001 indicates that kelts can be effectively routed past dams using sluiceways and spill.  Kelt sluice passage efficiencies of 69%, and 89% wer</w:t>
      </w:r>
      <w:r>
        <w:t>e documented at The Dalles, and Bonneville dams,</w:t>
      </w:r>
      <w:r>
        <w:rPr>
          <w:color w:val="FF0000"/>
        </w:rPr>
        <w:t xml:space="preserve"> </w:t>
      </w:r>
      <w:r>
        <w:t>respectively.</w:t>
      </w:r>
      <w:r>
        <w:rPr>
          <w:color w:val="FF0000"/>
        </w:rPr>
        <w:t xml:space="preserve"> </w:t>
      </w:r>
      <w:r>
        <w:t xml:space="preserve"> No benefits were observed from occlusion (blocked trash racks) at The Dalles Dam.  In fact, </w:t>
      </w:r>
      <w:proofErr w:type="gramStart"/>
      <w:r>
        <w:t>kelt</w:t>
      </w:r>
      <w:proofErr w:type="gramEnd"/>
      <w:r>
        <w:t xml:space="preserve"> turbine passage during occluded conditions warns of an ineffectiveness of this configuration fo</w:t>
      </w:r>
      <w:r>
        <w:t xml:space="preserve">r guiding kelts into The Dalles sluiceway.  </w:t>
      </w:r>
      <w:proofErr w:type="gramStart"/>
      <w:r>
        <w:t>As in 2000 (Wertheimer et al. 2001), intake screen systems displayed poor efficacy in guiding kelts away from turbine units.</w:t>
      </w:r>
      <w:proofErr w:type="gramEnd"/>
      <w:r>
        <w:t xml:space="preserve">  Spilling water significantly reduced the travel and passage times of kelts through the</w:t>
      </w:r>
      <w:r>
        <w:t xml:space="preserve"> projects and pools in the lower Columbia River.  Moreover, during 30% spill at The Dalles Dam optimal (99%) </w:t>
      </w:r>
      <w:proofErr w:type="gramStart"/>
      <w:r>
        <w:t>kelt</w:t>
      </w:r>
      <w:proofErr w:type="gramEnd"/>
      <w:r>
        <w:t xml:space="preserve"> passage efficiencies were observed.  Adult PIT detection systems proved effective at monitoring steelhead returns as indicated by the percenta</w:t>
      </w:r>
      <w:r>
        <w:t xml:space="preserve">ge of steelhead </w:t>
      </w:r>
    </w:p>
    <w:p w:rsidR="00000000" w:rsidRDefault="00D93457">
      <w:proofErr w:type="gramStart"/>
      <w:r>
        <w:t>(~ 8%) contacted on upstream migrations.</w:t>
      </w:r>
      <w:proofErr w:type="gramEnd"/>
      <w:r>
        <w:t xml:space="preserve"> </w:t>
      </w:r>
    </w:p>
    <w:p w:rsidR="00000000" w:rsidRDefault="00D93457">
      <w:pPr>
        <w:pStyle w:val="BodyTextIndent"/>
        <w:ind w:left="0"/>
        <w:jc w:val="center"/>
        <w:rPr>
          <w:b/>
          <w:caps/>
          <w:sz w:val="28"/>
          <w:u w:val="single"/>
        </w:rPr>
      </w:pPr>
    </w:p>
    <w:p w:rsidR="00000000" w:rsidRDefault="00D93457">
      <w:pPr>
        <w:pStyle w:val="BodyTextIndent"/>
        <w:ind w:left="0"/>
        <w:jc w:val="center"/>
        <w:rPr>
          <w:b/>
          <w:caps/>
          <w:sz w:val="28"/>
          <w:u w:val="single"/>
        </w:rPr>
      </w:pPr>
    </w:p>
    <w:p w:rsidR="00000000" w:rsidRDefault="00D93457">
      <w:pPr>
        <w:pStyle w:val="BodyTextIndent"/>
        <w:ind w:left="0"/>
        <w:jc w:val="center"/>
        <w:rPr>
          <w:b/>
          <w:caps/>
          <w:sz w:val="28"/>
          <w:u w:val="single"/>
        </w:rPr>
      </w:pPr>
    </w:p>
    <w:p w:rsidR="00000000" w:rsidRDefault="00D93457">
      <w:pPr>
        <w:pStyle w:val="BodyTextIndent"/>
        <w:tabs>
          <w:tab w:val="left" w:pos="4320"/>
        </w:tabs>
        <w:ind w:left="0" w:firstLine="0"/>
        <w:jc w:val="center"/>
        <w:rPr>
          <w:b/>
          <w:caps/>
          <w:sz w:val="28"/>
          <w:u w:val="single"/>
        </w:rPr>
      </w:pPr>
      <w:r>
        <w:rPr>
          <w:b/>
          <w:caps/>
          <w:sz w:val="28"/>
          <w:u w:val="single"/>
        </w:rPr>
        <w:lastRenderedPageBreak/>
        <w:t>Table of Contents</w:t>
      </w:r>
    </w:p>
    <w:p w:rsidR="00000000" w:rsidRDefault="00D93457">
      <w:pPr>
        <w:pStyle w:val="BodyTextIndent"/>
        <w:ind w:left="0"/>
        <w:jc w:val="center"/>
        <w:rPr>
          <w:b/>
          <w:caps/>
          <w:u w:val="single"/>
        </w:rPr>
      </w:pPr>
    </w:p>
    <w:p w:rsidR="00000000" w:rsidRDefault="00D93457">
      <w:pPr>
        <w:pStyle w:val="BodyTextIndent"/>
        <w:ind w:left="0"/>
        <w:jc w:val="center"/>
        <w:rPr>
          <w:b/>
          <w:caps/>
          <w:u w:val="single"/>
        </w:rPr>
      </w:pPr>
    </w:p>
    <w:p w:rsidR="00000000" w:rsidRDefault="00D93457">
      <w:pPr>
        <w:pStyle w:val="BodyTextIndent"/>
        <w:tabs>
          <w:tab w:val="left" w:pos="7200"/>
          <w:tab w:val="left" w:pos="7920"/>
        </w:tabs>
        <w:ind w:left="0" w:firstLine="0"/>
      </w:pPr>
      <w:r>
        <w:t xml:space="preserve">EXECUTIVE SUMMARY………………………………………………….  </w:t>
      </w:r>
      <w:r>
        <w:tab/>
        <w:t>i</w:t>
      </w:r>
    </w:p>
    <w:p w:rsidR="00000000" w:rsidRDefault="00D93457">
      <w:pPr>
        <w:pStyle w:val="BodyTextIndent"/>
        <w:tabs>
          <w:tab w:val="left" w:pos="7200"/>
          <w:tab w:val="left" w:pos="7920"/>
        </w:tabs>
        <w:ind w:left="0" w:firstLine="0"/>
        <w:rPr>
          <w:b/>
        </w:rPr>
      </w:pPr>
      <w:r>
        <w:rPr>
          <w:caps/>
        </w:rPr>
        <w:t xml:space="preserve">Table of </w:t>
      </w:r>
      <w:proofErr w:type="gramStart"/>
      <w:r>
        <w:rPr>
          <w:caps/>
        </w:rPr>
        <w:t>Contents.…………………………………………………..</w:t>
      </w:r>
      <w:proofErr w:type="gramEnd"/>
      <w:r>
        <w:rPr>
          <w:caps/>
        </w:rPr>
        <w:tab/>
      </w:r>
      <w:r>
        <w:rPr>
          <w:caps/>
        </w:rPr>
        <w:tab/>
      </w:r>
      <w:proofErr w:type="gramStart"/>
      <w:r>
        <w:rPr>
          <w:bCs/>
        </w:rPr>
        <w:t>iii</w:t>
      </w:r>
      <w:proofErr w:type="gramEnd"/>
    </w:p>
    <w:p w:rsidR="00000000" w:rsidRDefault="00D93457">
      <w:pPr>
        <w:pStyle w:val="BodyTextIndent"/>
        <w:tabs>
          <w:tab w:val="left" w:pos="7200"/>
          <w:tab w:val="left" w:pos="7920"/>
        </w:tabs>
        <w:ind w:left="0" w:right="360" w:firstLine="0"/>
      </w:pPr>
      <w:r>
        <w:t xml:space="preserve">LIST OF TABLES AND FIGURES…………………………………….….           </w:t>
      </w:r>
      <w:r>
        <w:tab/>
        <w:t>v</w:t>
      </w:r>
    </w:p>
    <w:p w:rsidR="00000000" w:rsidRDefault="00D93457">
      <w:pPr>
        <w:pStyle w:val="BodyTextIndent"/>
        <w:tabs>
          <w:tab w:val="left" w:pos="7200"/>
          <w:tab w:val="left" w:pos="7920"/>
        </w:tabs>
        <w:ind w:left="0" w:right="360" w:firstLine="0"/>
      </w:pPr>
      <w:r>
        <w:t>LIST OF APPENDICES………………………………</w:t>
      </w:r>
      <w:r>
        <w:t>……………………</w:t>
      </w:r>
      <w:r>
        <w:tab/>
      </w:r>
      <w:r>
        <w:tab/>
        <w:t>vii</w:t>
      </w:r>
    </w:p>
    <w:p w:rsidR="00000000" w:rsidRDefault="00D93457">
      <w:pPr>
        <w:pStyle w:val="BodyTextIndent"/>
        <w:ind w:left="0" w:firstLine="0"/>
        <w:rPr>
          <w:caps/>
        </w:rPr>
      </w:pPr>
    </w:p>
    <w:p w:rsidR="00000000" w:rsidRDefault="00D93457">
      <w:pPr>
        <w:pStyle w:val="BodyTextIndent"/>
        <w:ind w:left="0" w:firstLine="0"/>
      </w:pPr>
      <w:r>
        <w:rPr>
          <w:caps/>
        </w:rPr>
        <w:t>Introduction</w:t>
      </w:r>
      <w:r>
        <w:t xml:space="preserve">…………………………………………………………. </w:t>
      </w:r>
      <w:r>
        <w:tab/>
        <w:t>1</w:t>
      </w:r>
    </w:p>
    <w:p w:rsidR="00000000" w:rsidRDefault="00D93457">
      <w:pPr>
        <w:pStyle w:val="BodyTextIndent"/>
        <w:tabs>
          <w:tab w:val="left" w:pos="7200"/>
        </w:tabs>
        <w:ind w:left="0" w:firstLine="0"/>
        <w:rPr>
          <w:caps/>
        </w:rPr>
      </w:pPr>
    </w:p>
    <w:p w:rsidR="00000000" w:rsidRDefault="00D93457">
      <w:pPr>
        <w:pStyle w:val="BodyTextIndent"/>
        <w:tabs>
          <w:tab w:val="left" w:pos="7200"/>
          <w:tab w:val="left" w:pos="7920"/>
        </w:tabs>
        <w:ind w:left="0" w:firstLine="0"/>
        <w:rPr>
          <w:b/>
        </w:rPr>
      </w:pPr>
      <w:r>
        <w:rPr>
          <w:caps/>
        </w:rPr>
        <w:t>Methods</w:t>
      </w:r>
      <w:r>
        <w:t xml:space="preserve">…………………………………………………………………. </w:t>
      </w:r>
      <w:r>
        <w:tab/>
        <w:t>2</w:t>
      </w:r>
    </w:p>
    <w:p w:rsidR="00000000" w:rsidRDefault="00D93457">
      <w:pPr>
        <w:pStyle w:val="BodyTextIndent"/>
        <w:tabs>
          <w:tab w:val="left" w:pos="7200"/>
          <w:tab w:val="left" w:pos="7920"/>
        </w:tabs>
        <w:ind w:left="0"/>
      </w:pPr>
      <w:r>
        <w:t>Study Sites…………………………………………………………..</w:t>
      </w:r>
      <w:r>
        <w:tab/>
        <w:t>2</w:t>
      </w:r>
    </w:p>
    <w:p w:rsidR="00000000" w:rsidRDefault="00D93457">
      <w:pPr>
        <w:pStyle w:val="BodyTextIndent"/>
        <w:ind w:left="0"/>
      </w:pPr>
      <w:r>
        <w:t>Kelt Sampling……………………………………………………….</w:t>
      </w:r>
      <w:r>
        <w:tab/>
        <w:t>3</w:t>
      </w:r>
    </w:p>
    <w:p w:rsidR="00000000" w:rsidRDefault="00D93457">
      <w:pPr>
        <w:pStyle w:val="BodyTextIndent"/>
        <w:ind w:left="0"/>
      </w:pPr>
      <w:r>
        <w:t>Radio &amp; PIT Tags………………………………………………….</w:t>
      </w:r>
      <w:r>
        <w:tab/>
      </w:r>
      <w:r>
        <w:tab/>
        <w:t>4</w:t>
      </w:r>
    </w:p>
    <w:p w:rsidR="00000000" w:rsidRDefault="00D93457">
      <w:pPr>
        <w:pStyle w:val="BodyTextIndent"/>
        <w:tabs>
          <w:tab w:val="left" w:pos="7920"/>
        </w:tabs>
        <w:ind w:left="0"/>
      </w:pPr>
      <w:r>
        <w:t>Fixed Receiving System (Telemetry-Equipment)……….</w:t>
      </w:r>
      <w:r>
        <w:t>…………</w:t>
      </w:r>
      <w:r>
        <w:tab/>
        <w:t>4</w:t>
      </w:r>
    </w:p>
    <w:p w:rsidR="00000000" w:rsidRDefault="00D93457">
      <w:pPr>
        <w:pStyle w:val="BodyTextIndent"/>
        <w:tabs>
          <w:tab w:val="left" w:pos="7200"/>
          <w:tab w:val="left" w:pos="7920"/>
        </w:tabs>
        <w:ind w:left="0"/>
        <w:jc w:val="both"/>
      </w:pPr>
      <w:r>
        <w:t>Data Management and Analysis…………………………………….</w:t>
      </w:r>
      <w:r>
        <w:tab/>
        <w:t>5</w:t>
      </w:r>
    </w:p>
    <w:p w:rsidR="00000000" w:rsidRDefault="00D93457">
      <w:pPr>
        <w:pStyle w:val="BodyTextIndent"/>
        <w:ind w:left="0" w:firstLine="0"/>
        <w:jc w:val="both"/>
        <w:rPr>
          <w:b/>
          <w:caps/>
        </w:rPr>
      </w:pPr>
    </w:p>
    <w:p w:rsidR="00000000" w:rsidRDefault="00D93457">
      <w:pPr>
        <w:pStyle w:val="BodyTextIndent"/>
        <w:ind w:left="0" w:firstLine="0"/>
        <w:jc w:val="both"/>
      </w:pPr>
      <w:r>
        <w:rPr>
          <w:caps/>
        </w:rPr>
        <w:t>Results</w:t>
      </w:r>
    </w:p>
    <w:p w:rsidR="00000000" w:rsidRDefault="00D93457">
      <w:pPr>
        <w:pStyle w:val="BodyTextIndent"/>
        <w:ind w:left="0"/>
        <w:jc w:val="both"/>
      </w:pPr>
      <w:r>
        <w:t xml:space="preserve">Project Operations………………………………………………….. </w:t>
      </w:r>
      <w:r>
        <w:tab/>
        <w:t>6</w:t>
      </w:r>
    </w:p>
    <w:p w:rsidR="00000000" w:rsidRDefault="00D93457">
      <w:pPr>
        <w:pStyle w:val="BodyTextIndent"/>
        <w:tabs>
          <w:tab w:val="left" w:pos="7200"/>
          <w:tab w:val="left" w:pos="7920"/>
        </w:tabs>
        <w:ind w:left="0"/>
        <w:jc w:val="both"/>
      </w:pPr>
      <w:r>
        <w:t>McNary Abundance and Condition……………………………….</w:t>
      </w:r>
      <w:r>
        <w:tab/>
        <w:t xml:space="preserve"> </w:t>
      </w:r>
      <w:r>
        <w:tab/>
        <w:t>7</w:t>
      </w:r>
    </w:p>
    <w:p w:rsidR="00000000" w:rsidRDefault="00D93457">
      <w:pPr>
        <w:pStyle w:val="BodyTextIndent"/>
        <w:tabs>
          <w:tab w:val="left" w:pos="7200"/>
          <w:tab w:val="left" w:pos="7920"/>
        </w:tabs>
        <w:ind w:left="0"/>
        <w:jc w:val="both"/>
      </w:pPr>
      <w:r>
        <w:t>John Day Abundance and Condition</w:t>
      </w:r>
      <w:proofErr w:type="gramStart"/>
      <w:r>
        <w:t>...…………………………..…</w:t>
      </w:r>
      <w:proofErr w:type="gramEnd"/>
      <w:r>
        <w:t xml:space="preserve">    </w:t>
      </w:r>
      <w:r>
        <w:tab/>
        <w:t>8</w:t>
      </w:r>
    </w:p>
    <w:p w:rsidR="00000000" w:rsidRDefault="00D93457">
      <w:pPr>
        <w:pStyle w:val="BodyTextIndent"/>
        <w:tabs>
          <w:tab w:val="left" w:pos="7200"/>
        </w:tabs>
        <w:ind w:left="0"/>
        <w:jc w:val="both"/>
      </w:pPr>
      <w:r>
        <w:t>Telemetry……………………………………………………………</w:t>
      </w:r>
      <w:r>
        <w:tab/>
        <w:t>9</w:t>
      </w:r>
    </w:p>
    <w:p w:rsidR="00000000" w:rsidRDefault="00D93457">
      <w:pPr>
        <w:pStyle w:val="BodyTextIndent"/>
        <w:tabs>
          <w:tab w:val="left" w:pos="7200"/>
        </w:tabs>
        <w:ind w:left="0"/>
        <w:jc w:val="both"/>
      </w:pPr>
      <w:r>
        <w:t>Travel Rates…</w:t>
      </w:r>
      <w:r>
        <w:t>………………………………………………………</w:t>
      </w:r>
      <w:r>
        <w:tab/>
        <w:t>9</w:t>
      </w:r>
    </w:p>
    <w:p w:rsidR="00000000" w:rsidRDefault="00D93457">
      <w:pPr>
        <w:pStyle w:val="BodyTextIndent"/>
        <w:tabs>
          <w:tab w:val="left" w:pos="7200"/>
          <w:tab w:val="left" w:pos="7920"/>
        </w:tabs>
        <w:ind w:left="720" w:firstLine="0"/>
        <w:jc w:val="both"/>
      </w:pPr>
      <w:proofErr w:type="gramStart"/>
      <w:r>
        <w:t>Passage.…………………………………………………………….</w:t>
      </w:r>
      <w:proofErr w:type="gramEnd"/>
      <w:r>
        <w:tab/>
        <w:t xml:space="preserve">           </w:t>
      </w:r>
      <w:r>
        <w:tab/>
        <w:t>10</w:t>
      </w:r>
    </w:p>
    <w:p w:rsidR="00000000" w:rsidRDefault="00D93457">
      <w:pPr>
        <w:pStyle w:val="BodyTextIndent"/>
        <w:tabs>
          <w:tab w:val="left" w:pos="1440"/>
          <w:tab w:val="left" w:pos="7200"/>
          <w:tab w:val="left" w:pos="7920"/>
        </w:tabs>
        <w:ind w:left="0"/>
        <w:jc w:val="both"/>
      </w:pPr>
      <w:r>
        <w:rPr>
          <w:i/>
          <w:iCs/>
        </w:rPr>
        <w:tab/>
      </w:r>
      <w:r>
        <w:t xml:space="preserve">John Day Dam ………………………………………………          </w:t>
      </w:r>
      <w:r>
        <w:tab/>
        <w:t>10</w:t>
      </w:r>
    </w:p>
    <w:p w:rsidR="00000000" w:rsidRDefault="00D93457">
      <w:pPr>
        <w:pStyle w:val="BodyTextIndent"/>
        <w:tabs>
          <w:tab w:val="left" w:pos="1440"/>
          <w:tab w:val="left" w:pos="7200"/>
          <w:tab w:val="left" w:pos="7920"/>
        </w:tabs>
        <w:ind w:left="0"/>
        <w:jc w:val="both"/>
      </w:pPr>
      <w:r>
        <w:tab/>
        <w:t>The Dalles Dam ……………………………………………</w:t>
      </w:r>
      <w:r>
        <w:tab/>
      </w:r>
      <w:r>
        <w:tab/>
        <w:t>10</w:t>
      </w:r>
      <w:r>
        <w:tab/>
        <w:t xml:space="preserve">   </w:t>
      </w:r>
    </w:p>
    <w:p w:rsidR="00000000" w:rsidRDefault="00D93457">
      <w:pPr>
        <w:pStyle w:val="BodyTextIndent"/>
        <w:tabs>
          <w:tab w:val="left" w:pos="1440"/>
          <w:tab w:val="left" w:pos="7200"/>
          <w:tab w:val="left" w:pos="7920"/>
        </w:tabs>
        <w:ind w:left="0"/>
        <w:jc w:val="both"/>
      </w:pPr>
      <w:r>
        <w:tab/>
        <w:t>Bonneville Dam</w:t>
      </w:r>
      <w:proofErr w:type="gramStart"/>
      <w:r>
        <w:t>…………...………………………………</w:t>
      </w:r>
      <w:proofErr w:type="gramEnd"/>
      <w:r>
        <w:t>..</w:t>
      </w:r>
      <w:r>
        <w:tab/>
      </w:r>
      <w:r>
        <w:tab/>
        <w:t>12</w:t>
      </w:r>
    </w:p>
    <w:p w:rsidR="00000000" w:rsidRDefault="00D93457">
      <w:pPr>
        <w:pStyle w:val="BodyTextIndent"/>
        <w:ind w:left="720" w:firstLine="0"/>
        <w:jc w:val="both"/>
      </w:pPr>
      <w:r>
        <w:t>Conversion Rates……………………………………………………</w:t>
      </w:r>
      <w:r>
        <w:tab/>
        <w:t>14</w:t>
      </w:r>
    </w:p>
    <w:p w:rsidR="00000000" w:rsidRDefault="00D93457">
      <w:pPr>
        <w:pStyle w:val="BodyTextIndent"/>
        <w:ind w:left="720" w:firstLine="0"/>
        <w:jc w:val="both"/>
      </w:pPr>
      <w:r>
        <w:t>Radio-tag reten</w:t>
      </w:r>
      <w:r>
        <w:t xml:space="preserve">tion………………………………………………… </w:t>
      </w:r>
      <w:r>
        <w:tab/>
      </w:r>
      <w:r>
        <w:tab/>
        <w:t>15</w:t>
      </w:r>
    </w:p>
    <w:p w:rsidR="00000000" w:rsidRDefault="00D93457">
      <w:pPr>
        <w:pStyle w:val="BodyTextIndent"/>
        <w:ind w:left="720" w:firstLine="0"/>
        <w:jc w:val="both"/>
      </w:pPr>
      <w:r>
        <w:t>Return Rates…………………………………………………………</w:t>
      </w:r>
      <w:r>
        <w:tab/>
        <w:t>16</w:t>
      </w:r>
    </w:p>
    <w:p w:rsidR="00000000" w:rsidRDefault="00D93457">
      <w:pPr>
        <w:pStyle w:val="BodyTextIndent"/>
        <w:ind w:left="720" w:firstLine="0"/>
        <w:jc w:val="both"/>
      </w:pPr>
      <w:r>
        <w:tab/>
      </w:r>
    </w:p>
    <w:p w:rsidR="00000000" w:rsidRDefault="00D93457">
      <w:pPr>
        <w:pStyle w:val="BodyTextIndent"/>
        <w:ind w:left="0" w:firstLine="0"/>
        <w:jc w:val="both"/>
      </w:pPr>
      <w:r>
        <w:rPr>
          <w:caps/>
        </w:rPr>
        <w:t>Project Summary &amp; Discussion</w:t>
      </w:r>
      <w:r>
        <w:t>…………………………………</w:t>
      </w:r>
      <w:r>
        <w:tab/>
      </w:r>
      <w:r>
        <w:tab/>
        <w:t>17</w:t>
      </w:r>
    </w:p>
    <w:p w:rsidR="00000000" w:rsidRDefault="00D93457">
      <w:pPr>
        <w:pStyle w:val="BodyTextIndent"/>
        <w:ind w:left="0" w:firstLine="0"/>
        <w:jc w:val="both"/>
      </w:pPr>
    </w:p>
    <w:p w:rsidR="00000000" w:rsidRDefault="00D93457">
      <w:pPr>
        <w:pStyle w:val="BodyTextIndent"/>
        <w:ind w:left="0" w:firstLine="0"/>
        <w:jc w:val="both"/>
      </w:pPr>
      <w:r>
        <w:rPr>
          <w:caps/>
        </w:rPr>
        <w:t>Acknowledgements</w:t>
      </w:r>
      <w:proofErr w:type="gramStart"/>
      <w:r>
        <w:t>………………………………………………...</w:t>
      </w:r>
      <w:proofErr w:type="gramEnd"/>
      <w:r>
        <w:tab/>
      </w:r>
      <w:r>
        <w:tab/>
        <w:t>18</w:t>
      </w:r>
    </w:p>
    <w:p w:rsidR="00000000" w:rsidRDefault="00D93457">
      <w:pPr>
        <w:pStyle w:val="BodyTextIndent"/>
        <w:ind w:left="0" w:firstLine="0"/>
        <w:jc w:val="both"/>
      </w:pPr>
    </w:p>
    <w:p w:rsidR="00000000" w:rsidRDefault="00D93457">
      <w:pPr>
        <w:pStyle w:val="BodyTextIndent"/>
        <w:tabs>
          <w:tab w:val="left" w:pos="7200"/>
          <w:tab w:val="left" w:pos="7920"/>
        </w:tabs>
        <w:ind w:left="0" w:firstLine="0"/>
        <w:jc w:val="both"/>
      </w:pPr>
      <w:r>
        <w:rPr>
          <w:caps/>
        </w:rPr>
        <w:t>References</w:t>
      </w:r>
      <w:proofErr w:type="gramStart"/>
      <w:r>
        <w:t>…………………..…………………………………………</w:t>
      </w:r>
      <w:proofErr w:type="gramEnd"/>
      <w:r>
        <w:tab/>
      </w:r>
      <w:r>
        <w:tab/>
        <w:t>19</w:t>
      </w:r>
    </w:p>
    <w:p w:rsidR="00000000" w:rsidRDefault="00D93457">
      <w:pPr>
        <w:pStyle w:val="BodyTextIndent"/>
        <w:ind w:left="0" w:firstLine="0"/>
        <w:jc w:val="both"/>
      </w:pPr>
    </w:p>
    <w:p w:rsidR="00000000" w:rsidRDefault="00D93457">
      <w:pPr>
        <w:pStyle w:val="BodyTextIndent"/>
        <w:ind w:left="0" w:firstLine="0"/>
        <w:rPr>
          <w:b/>
          <w:caps/>
          <w:sz w:val="28"/>
          <w:u w:val="single"/>
        </w:rPr>
      </w:pPr>
      <w:r>
        <w:t>APPENDICES</w:t>
      </w:r>
      <w:proofErr w:type="gramStart"/>
      <w:r>
        <w:t>……………………………………………………………....</w:t>
      </w:r>
      <w:proofErr w:type="gramEnd"/>
      <w:r>
        <w:tab/>
        <w:t>20</w:t>
      </w: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u w:val="single"/>
        </w:rPr>
      </w:pPr>
    </w:p>
    <w:p w:rsidR="00000000" w:rsidRDefault="00D93457">
      <w:pPr>
        <w:pStyle w:val="BodyText3"/>
        <w:jc w:val="center"/>
        <w:rPr>
          <w:b/>
          <w:bCs/>
          <w:color w:val="auto"/>
          <w:u w:val="single"/>
        </w:rPr>
      </w:pPr>
    </w:p>
    <w:p w:rsidR="00000000" w:rsidRDefault="00D93457">
      <w:pPr>
        <w:pStyle w:val="BodyText3"/>
        <w:jc w:val="center"/>
        <w:rPr>
          <w:b/>
          <w:bCs/>
          <w:color w:val="auto"/>
          <w:u w:val="single"/>
        </w:rPr>
      </w:pPr>
      <w:r>
        <w:rPr>
          <w:b/>
          <w:bCs/>
          <w:color w:val="auto"/>
          <w:u w:val="single"/>
        </w:rPr>
        <w:lastRenderedPageBreak/>
        <w:t>LIST OF TABLES AND FIGURES</w:t>
      </w:r>
    </w:p>
    <w:p w:rsidR="00000000" w:rsidRDefault="00D93457">
      <w:pPr>
        <w:pStyle w:val="BodyText3"/>
        <w:tabs>
          <w:tab w:val="left" w:pos="1440"/>
          <w:tab w:val="left" w:pos="7560"/>
          <w:tab w:val="left" w:pos="8280"/>
        </w:tabs>
        <w:jc w:val="center"/>
        <w:rPr>
          <w:b/>
          <w:bCs/>
          <w:color w:val="auto"/>
          <w:u w:val="single"/>
        </w:rPr>
      </w:pPr>
    </w:p>
    <w:p w:rsidR="00000000" w:rsidRDefault="00D93457">
      <w:pPr>
        <w:pStyle w:val="BodyText3"/>
        <w:tabs>
          <w:tab w:val="left" w:pos="1440"/>
          <w:tab w:val="left" w:pos="7560"/>
          <w:tab w:val="left" w:pos="8280"/>
        </w:tabs>
        <w:jc w:val="center"/>
        <w:rPr>
          <w:b/>
          <w:bCs/>
          <w:color w:val="auto"/>
          <w:sz w:val="24"/>
          <w:u w:val="single"/>
        </w:rPr>
      </w:pPr>
      <w:r>
        <w:rPr>
          <w:b/>
          <w:bCs/>
          <w:color w:val="auto"/>
          <w:sz w:val="24"/>
          <w:u w:val="single"/>
        </w:rPr>
        <w:t>TABLES</w:t>
      </w:r>
    </w:p>
    <w:p w:rsidR="00000000" w:rsidRDefault="00D93457">
      <w:pPr>
        <w:pStyle w:val="BodyText3"/>
        <w:tabs>
          <w:tab w:val="left" w:pos="1440"/>
          <w:tab w:val="left" w:pos="7560"/>
          <w:tab w:val="left" w:pos="8280"/>
        </w:tabs>
        <w:jc w:val="center"/>
        <w:rPr>
          <w:b/>
          <w:bCs/>
          <w:color w:val="auto"/>
          <w:u w:val="single"/>
        </w:rPr>
      </w:pPr>
    </w:p>
    <w:p w:rsidR="00000000" w:rsidRDefault="00D93457">
      <w:pPr>
        <w:pStyle w:val="BodyTextIndent"/>
        <w:tabs>
          <w:tab w:val="left" w:pos="972"/>
          <w:tab w:val="left" w:pos="7560"/>
          <w:tab w:val="left" w:pos="8280"/>
        </w:tabs>
        <w:ind w:left="0" w:firstLine="0"/>
        <w:jc w:val="both"/>
      </w:pPr>
      <w:proofErr w:type="gramStart"/>
      <w:r>
        <w:t>Table 1.</w:t>
      </w:r>
      <w:proofErr w:type="gramEnd"/>
      <w:r>
        <w:t xml:space="preserve">  </w:t>
      </w:r>
      <w:r>
        <w:tab/>
        <w:t xml:space="preserve">Average flows through the Columbia River from 1 April to 30 June </w:t>
      </w:r>
    </w:p>
    <w:p w:rsidR="00000000" w:rsidRDefault="00D93457">
      <w:pPr>
        <w:pStyle w:val="BodyTextIndent"/>
        <w:tabs>
          <w:tab w:val="left" w:pos="972"/>
          <w:tab w:val="left" w:pos="7560"/>
          <w:tab w:val="left" w:pos="8280"/>
        </w:tabs>
        <w:ind w:left="0" w:firstLine="0"/>
        <w:jc w:val="both"/>
      </w:pPr>
      <w:r>
        <w:tab/>
      </w:r>
      <w:proofErr w:type="gramStart"/>
      <w:r>
        <w:t>at</w:t>
      </w:r>
      <w:proofErr w:type="gramEnd"/>
      <w:r>
        <w:t xml:space="preserve"> John Day, The Dalles, and Bonneville hydroelectric projects, 2001.</w:t>
      </w:r>
      <w:r>
        <w:tab/>
        <w:t>7</w:t>
      </w:r>
      <w:r>
        <w:tab/>
      </w:r>
    </w:p>
    <w:p w:rsidR="00000000" w:rsidRDefault="00D93457">
      <w:pPr>
        <w:pStyle w:val="Header"/>
        <w:tabs>
          <w:tab w:val="clear" w:pos="4320"/>
          <w:tab w:val="clear" w:pos="8640"/>
          <w:tab w:val="left" w:pos="972"/>
          <w:tab w:val="left" w:pos="7560"/>
          <w:tab w:val="left" w:pos="7920"/>
          <w:tab w:val="left" w:pos="8280"/>
        </w:tabs>
      </w:pPr>
    </w:p>
    <w:p w:rsidR="00000000" w:rsidRDefault="00D93457">
      <w:pPr>
        <w:pStyle w:val="Header"/>
        <w:tabs>
          <w:tab w:val="clear" w:pos="4320"/>
          <w:tab w:val="clear" w:pos="8640"/>
          <w:tab w:val="left" w:pos="972"/>
          <w:tab w:val="left" w:pos="7560"/>
          <w:tab w:val="left" w:pos="7920"/>
          <w:tab w:val="left" w:pos="8280"/>
        </w:tabs>
      </w:pPr>
      <w:proofErr w:type="gramStart"/>
      <w:r>
        <w:t>Table 2.</w:t>
      </w:r>
      <w:proofErr w:type="gramEnd"/>
      <w:r>
        <w:t xml:space="preserve">  </w:t>
      </w:r>
      <w:r>
        <w:tab/>
        <w:t>Percentage of steelhead s</w:t>
      </w:r>
      <w:r>
        <w:t xml:space="preserve">ample (n = 383) with head burn or head </w:t>
      </w:r>
    </w:p>
    <w:p w:rsidR="00000000" w:rsidRDefault="00D93457">
      <w:pPr>
        <w:pStyle w:val="Header"/>
        <w:tabs>
          <w:tab w:val="clear" w:pos="4320"/>
          <w:tab w:val="clear" w:pos="8640"/>
          <w:tab w:val="left" w:pos="972"/>
          <w:tab w:val="left" w:pos="7560"/>
          <w:tab w:val="left" w:pos="7920"/>
          <w:tab w:val="left" w:pos="8280"/>
        </w:tabs>
      </w:pPr>
      <w:r>
        <w:tab/>
      </w:r>
      <w:proofErr w:type="gramStart"/>
      <w:r>
        <w:t>fungus</w:t>
      </w:r>
      <w:proofErr w:type="gramEnd"/>
      <w:r>
        <w:t xml:space="preserve"> at McNary Dam in 2001.</w:t>
      </w:r>
      <w:r>
        <w:tab/>
      </w:r>
      <w:r>
        <w:tab/>
      </w:r>
      <w:r>
        <w:tab/>
        <w:t>8</w:t>
      </w:r>
    </w:p>
    <w:p w:rsidR="00000000" w:rsidRDefault="00D93457">
      <w:pPr>
        <w:pStyle w:val="Header"/>
        <w:tabs>
          <w:tab w:val="clear" w:pos="4320"/>
          <w:tab w:val="clear" w:pos="8640"/>
          <w:tab w:val="left" w:pos="972"/>
          <w:tab w:val="left" w:pos="7560"/>
          <w:tab w:val="left" w:pos="7920"/>
          <w:tab w:val="left" w:pos="8280"/>
        </w:tabs>
      </w:pPr>
    </w:p>
    <w:p w:rsidR="00000000" w:rsidRDefault="00D93457">
      <w:pPr>
        <w:pStyle w:val="Header"/>
        <w:tabs>
          <w:tab w:val="clear" w:pos="4320"/>
          <w:tab w:val="clear" w:pos="8640"/>
          <w:tab w:val="left" w:pos="972"/>
          <w:tab w:val="left" w:pos="7560"/>
          <w:tab w:val="left" w:pos="7920"/>
          <w:tab w:val="left" w:pos="8280"/>
        </w:tabs>
      </w:pPr>
      <w:proofErr w:type="gramStart"/>
      <w:r>
        <w:t>Table 3.</w:t>
      </w:r>
      <w:proofErr w:type="gramEnd"/>
      <w:r>
        <w:t xml:space="preserve">  </w:t>
      </w:r>
      <w:r>
        <w:tab/>
        <w:t xml:space="preserve">Condition and coloration of pre and post spawn steelhead sampled </w:t>
      </w:r>
    </w:p>
    <w:p w:rsidR="00000000" w:rsidRDefault="00D93457">
      <w:pPr>
        <w:pStyle w:val="Header"/>
        <w:tabs>
          <w:tab w:val="clear" w:pos="4320"/>
          <w:tab w:val="clear" w:pos="8640"/>
          <w:tab w:val="left" w:pos="972"/>
          <w:tab w:val="left" w:pos="7560"/>
          <w:tab w:val="left" w:pos="8280"/>
        </w:tabs>
      </w:pPr>
      <w:r>
        <w:tab/>
      </w:r>
      <w:proofErr w:type="gramStart"/>
      <w:r>
        <w:t>at</w:t>
      </w:r>
      <w:proofErr w:type="gramEnd"/>
      <w:r>
        <w:t xml:space="preserve"> the McNary juvenile fish facility in 2001.</w:t>
      </w:r>
      <w:r>
        <w:tab/>
      </w:r>
      <w:r>
        <w:tab/>
        <w:t>8</w:t>
      </w:r>
    </w:p>
    <w:p w:rsidR="00000000" w:rsidRDefault="00D93457">
      <w:pPr>
        <w:pStyle w:val="Heading1"/>
        <w:tabs>
          <w:tab w:val="left" w:pos="972"/>
          <w:tab w:val="left" w:pos="7560"/>
          <w:tab w:val="left" w:pos="8280"/>
        </w:tabs>
        <w:ind w:left="0" w:firstLine="0"/>
        <w:rPr>
          <w:b w:val="0"/>
          <w:bCs/>
          <w:sz w:val="24"/>
        </w:rPr>
      </w:pPr>
    </w:p>
    <w:p w:rsidR="00000000" w:rsidRDefault="00D93457">
      <w:pPr>
        <w:pStyle w:val="Heading1"/>
        <w:tabs>
          <w:tab w:val="left" w:pos="972"/>
          <w:tab w:val="left" w:pos="7560"/>
          <w:tab w:val="left" w:pos="8280"/>
        </w:tabs>
        <w:ind w:left="0" w:firstLine="0"/>
        <w:rPr>
          <w:b w:val="0"/>
          <w:bCs/>
          <w:sz w:val="24"/>
        </w:rPr>
      </w:pPr>
      <w:proofErr w:type="gramStart"/>
      <w:r>
        <w:rPr>
          <w:b w:val="0"/>
          <w:bCs/>
          <w:sz w:val="24"/>
        </w:rPr>
        <w:t>Table 4.</w:t>
      </w:r>
      <w:proofErr w:type="gramEnd"/>
      <w:r>
        <w:rPr>
          <w:b w:val="0"/>
          <w:bCs/>
          <w:sz w:val="24"/>
        </w:rPr>
        <w:t xml:space="preserve">  </w:t>
      </w:r>
      <w:r>
        <w:rPr>
          <w:b w:val="0"/>
          <w:bCs/>
          <w:sz w:val="24"/>
        </w:rPr>
        <w:tab/>
        <w:t xml:space="preserve">Condition and coloration of pre and post </w:t>
      </w:r>
      <w:r>
        <w:rPr>
          <w:b w:val="0"/>
          <w:bCs/>
          <w:sz w:val="24"/>
        </w:rPr>
        <w:t>spawn steelhead sampled</w:t>
      </w:r>
    </w:p>
    <w:p w:rsidR="00000000" w:rsidRDefault="00D93457">
      <w:pPr>
        <w:pStyle w:val="Heading1"/>
        <w:tabs>
          <w:tab w:val="left" w:pos="972"/>
          <w:tab w:val="left" w:pos="7560"/>
          <w:tab w:val="left" w:pos="8280"/>
        </w:tabs>
        <w:ind w:left="0" w:firstLine="0"/>
        <w:rPr>
          <w:b w:val="0"/>
          <w:bCs/>
          <w:sz w:val="24"/>
        </w:rPr>
      </w:pPr>
      <w:r>
        <w:rPr>
          <w:b w:val="0"/>
          <w:bCs/>
          <w:sz w:val="24"/>
        </w:rPr>
        <w:tab/>
      </w:r>
      <w:proofErr w:type="gramStart"/>
      <w:r>
        <w:rPr>
          <w:b w:val="0"/>
          <w:bCs/>
          <w:sz w:val="24"/>
        </w:rPr>
        <w:t>at</w:t>
      </w:r>
      <w:proofErr w:type="gramEnd"/>
      <w:r>
        <w:rPr>
          <w:b w:val="0"/>
          <w:bCs/>
          <w:sz w:val="24"/>
        </w:rPr>
        <w:t xml:space="preserve"> the John Day smolt monitoring facility in 2001.</w:t>
      </w:r>
      <w:r>
        <w:rPr>
          <w:b w:val="0"/>
          <w:bCs/>
          <w:sz w:val="24"/>
        </w:rPr>
        <w:tab/>
      </w:r>
      <w:r>
        <w:rPr>
          <w:b w:val="0"/>
          <w:bCs/>
          <w:sz w:val="24"/>
        </w:rPr>
        <w:tab/>
        <w:t>9</w:t>
      </w:r>
    </w:p>
    <w:p w:rsidR="00000000" w:rsidRDefault="00D93457">
      <w:pPr>
        <w:tabs>
          <w:tab w:val="left" w:pos="972"/>
        </w:tabs>
      </w:pPr>
    </w:p>
    <w:p w:rsidR="00000000" w:rsidRDefault="00D93457">
      <w:pPr>
        <w:tabs>
          <w:tab w:val="left" w:pos="972"/>
          <w:tab w:val="left" w:pos="7560"/>
          <w:tab w:val="left" w:pos="8280"/>
        </w:tabs>
      </w:pPr>
      <w:proofErr w:type="gramStart"/>
      <w:r>
        <w:t>Table 5.</w:t>
      </w:r>
      <w:proofErr w:type="gramEnd"/>
      <w:r>
        <w:t xml:space="preserve">  </w:t>
      </w:r>
      <w:r>
        <w:tab/>
        <w:t xml:space="preserve">Percentage of steelhead sample (n = 1,198) with head burn or head </w:t>
      </w:r>
    </w:p>
    <w:p w:rsidR="00000000" w:rsidRDefault="00D93457">
      <w:pPr>
        <w:tabs>
          <w:tab w:val="left" w:pos="972"/>
          <w:tab w:val="left" w:pos="7560"/>
          <w:tab w:val="left" w:pos="8280"/>
        </w:tabs>
        <w:rPr>
          <w:szCs w:val="20"/>
        </w:rPr>
      </w:pPr>
      <w:r>
        <w:tab/>
      </w:r>
      <w:proofErr w:type="gramStart"/>
      <w:r>
        <w:t>fungus</w:t>
      </w:r>
      <w:proofErr w:type="gramEnd"/>
      <w:r>
        <w:t xml:space="preserve"> at John Day Smolt monitoring </w:t>
      </w:r>
      <w:r>
        <w:rPr>
          <w:szCs w:val="20"/>
        </w:rPr>
        <w:t>facility in 2001.</w:t>
      </w:r>
      <w:r>
        <w:rPr>
          <w:szCs w:val="20"/>
        </w:rPr>
        <w:tab/>
      </w:r>
      <w:r>
        <w:rPr>
          <w:szCs w:val="20"/>
        </w:rPr>
        <w:tab/>
        <w:t>9</w:t>
      </w:r>
    </w:p>
    <w:p w:rsidR="00000000" w:rsidRDefault="00D93457">
      <w:pPr>
        <w:pStyle w:val="PlainText"/>
        <w:tabs>
          <w:tab w:val="left" w:pos="972"/>
          <w:tab w:val="left" w:pos="7560"/>
          <w:tab w:val="left" w:pos="8280"/>
        </w:tabs>
        <w:rPr>
          <w:rFonts w:ascii="Times New Roman" w:hAnsi="Times New Roman"/>
          <w:sz w:val="24"/>
          <w:szCs w:val="24"/>
        </w:rPr>
      </w:pPr>
    </w:p>
    <w:p w:rsidR="00000000" w:rsidRDefault="00D93457">
      <w:pPr>
        <w:pStyle w:val="PlainText"/>
        <w:tabs>
          <w:tab w:val="left" w:pos="972"/>
          <w:tab w:val="left" w:pos="7560"/>
          <w:tab w:val="left" w:pos="8280"/>
        </w:tabs>
        <w:rPr>
          <w:rFonts w:ascii="Times New Roman" w:hAnsi="Times New Roman"/>
          <w:sz w:val="24"/>
          <w:szCs w:val="24"/>
        </w:rPr>
      </w:pPr>
      <w:proofErr w:type="gramStart"/>
      <w:r>
        <w:rPr>
          <w:rFonts w:ascii="Times New Roman" w:hAnsi="Times New Roman"/>
          <w:sz w:val="24"/>
          <w:szCs w:val="24"/>
        </w:rPr>
        <w:t>Table 6.</w:t>
      </w:r>
      <w:proofErr w:type="gramEnd"/>
      <w:r>
        <w:rPr>
          <w:rFonts w:ascii="Times New Roman" w:hAnsi="Times New Roman"/>
          <w:sz w:val="24"/>
          <w:szCs w:val="24"/>
        </w:rPr>
        <w:t xml:space="preserve">  </w:t>
      </w:r>
      <w:r>
        <w:rPr>
          <w:rFonts w:ascii="Times New Roman" w:hAnsi="Times New Roman"/>
          <w:sz w:val="24"/>
          <w:szCs w:val="24"/>
        </w:rPr>
        <w:tab/>
        <w:t>Proportion of steelhead kelt</w:t>
      </w:r>
      <w:r>
        <w:rPr>
          <w:rFonts w:ascii="Times New Roman" w:hAnsi="Times New Roman"/>
          <w:sz w:val="24"/>
          <w:szCs w:val="24"/>
        </w:rPr>
        <w:t>s radio-tagged in good, fair, or poor</w:t>
      </w:r>
    </w:p>
    <w:p w:rsidR="00000000" w:rsidRDefault="00D93457">
      <w:pPr>
        <w:tabs>
          <w:tab w:val="left" w:pos="972"/>
          <w:tab w:val="left" w:pos="7560"/>
          <w:tab w:val="left" w:pos="7920"/>
          <w:tab w:val="left" w:pos="8280"/>
        </w:tabs>
      </w:pPr>
      <w:r>
        <w:tab/>
      </w:r>
      <w:proofErr w:type="gramStart"/>
      <w:r>
        <w:t>condition</w:t>
      </w:r>
      <w:proofErr w:type="gramEnd"/>
      <w:r>
        <w:t xml:space="preserve"> at John Day and McNary dams.</w:t>
      </w:r>
      <w:r>
        <w:tab/>
      </w:r>
      <w:r>
        <w:tab/>
      </w:r>
      <w:r>
        <w:tab/>
        <w:t>9</w:t>
      </w:r>
    </w:p>
    <w:p w:rsidR="00000000" w:rsidRDefault="00D93457">
      <w:pPr>
        <w:pStyle w:val="Header"/>
        <w:tabs>
          <w:tab w:val="clear" w:pos="4320"/>
          <w:tab w:val="clear" w:pos="8640"/>
          <w:tab w:val="left" w:pos="972"/>
          <w:tab w:val="left" w:pos="7560"/>
          <w:tab w:val="left" w:pos="7920"/>
          <w:tab w:val="left" w:pos="8280"/>
        </w:tabs>
        <w:rPr>
          <w:szCs w:val="20"/>
        </w:rPr>
      </w:pPr>
    </w:p>
    <w:p w:rsidR="00000000" w:rsidRDefault="00D93457">
      <w:pPr>
        <w:pStyle w:val="BodyTextIndent"/>
        <w:tabs>
          <w:tab w:val="left" w:pos="972"/>
        </w:tabs>
        <w:ind w:left="0" w:firstLine="0"/>
        <w:jc w:val="both"/>
        <w:rPr>
          <w:bCs/>
        </w:rPr>
      </w:pPr>
      <w:r>
        <w:rPr>
          <w:bCs/>
        </w:rPr>
        <w:t>Table 7</w:t>
      </w:r>
      <w:proofErr w:type="gramStart"/>
      <w:r>
        <w:rPr>
          <w:bCs/>
        </w:rPr>
        <w:t xml:space="preserve">.   </w:t>
      </w:r>
      <w:proofErr w:type="gramEnd"/>
      <w:r>
        <w:rPr>
          <w:bCs/>
        </w:rPr>
        <w:t xml:space="preserve">Travel times (hh:mm) of the three </w:t>
      </w:r>
      <w:proofErr w:type="gramStart"/>
      <w:r>
        <w:rPr>
          <w:bCs/>
        </w:rPr>
        <w:t>kelt</w:t>
      </w:r>
      <w:proofErr w:type="gramEnd"/>
      <w:r>
        <w:rPr>
          <w:bCs/>
        </w:rPr>
        <w:t xml:space="preserve"> groups through the pools </w:t>
      </w:r>
    </w:p>
    <w:p w:rsidR="00000000" w:rsidRDefault="00D93457">
      <w:pPr>
        <w:pStyle w:val="BodyTextIndent"/>
        <w:tabs>
          <w:tab w:val="left" w:pos="972"/>
        </w:tabs>
        <w:ind w:left="0" w:firstLine="0"/>
        <w:jc w:val="both"/>
        <w:rPr>
          <w:bCs/>
        </w:rPr>
      </w:pPr>
      <w:r>
        <w:rPr>
          <w:bCs/>
        </w:rPr>
        <w:tab/>
      </w:r>
      <w:proofErr w:type="gramStart"/>
      <w:r>
        <w:rPr>
          <w:bCs/>
        </w:rPr>
        <w:t>between</w:t>
      </w:r>
      <w:proofErr w:type="gramEnd"/>
      <w:r>
        <w:rPr>
          <w:bCs/>
        </w:rPr>
        <w:t xml:space="preserve"> the lower Columbia River dams to the survival </w:t>
      </w:r>
    </w:p>
    <w:p w:rsidR="00000000" w:rsidRDefault="00D93457">
      <w:pPr>
        <w:pStyle w:val="BodyTextIndent"/>
        <w:tabs>
          <w:tab w:val="left" w:pos="972"/>
          <w:tab w:val="left" w:pos="8280"/>
        </w:tabs>
        <w:ind w:left="0" w:firstLine="0"/>
        <w:jc w:val="both"/>
      </w:pPr>
      <w:r>
        <w:tab/>
      </w:r>
      <w:proofErr w:type="gramStart"/>
      <w:r>
        <w:t>gates</w:t>
      </w:r>
      <w:proofErr w:type="gramEnd"/>
      <w:r>
        <w:t xml:space="preserve"> at I-205 bridge.</w:t>
      </w:r>
      <w:r>
        <w:tab/>
        <w:t>10</w:t>
      </w:r>
    </w:p>
    <w:p w:rsidR="00000000" w:rsidRDefault="00D93457">
      <w:pPr>
        <w:pStyle w:val="BodyTextIndent"/>
        <w:tabs>
          <w:tab w:val="left" w:pos="990"/>
          <w:tab w:val="left" w:pos="8280"/>
        </w:tabs>
        <w:ind w:left="720"/>
      </w:pPr>
    </w:p>
    <w:p w:rsidR="00000000" w:rsidRDefault="00D93457">
      <w:pPr>
        <w:pStyle w:val="BodyTextIndent"/>
        <w:tabs>
          <w:tab w:val="left" w:pos="990"/>
          <w:tab w:val="left" w:pos="6480"/>
          <w:tab w:val="left" w:pos="7560"/>
          <w:tab w:val="left" w:pos="8280"/>
        </w:tabs>
        <w:ind w:left="0" w:firstLine="0"/>
        <w:jc w:val="center"/>
        <w:rPr>
          <w:b/>
          <w:bCs/>
          <w:u w:val="single"/>
        </w:rPr>
      </w:pPr>
      <w:r>
        <w:rPr>
          <w:b/>
          <w:bCs/>
          <w:u w:val="single"/>
        </w:rPr>
        <w:t>FIGURES</w:t>
      </w:r>
    </w:p>
    <w:p w:rsidR="00000000" w:rsidRDefault="00D93457">
      <w:pPr>
        <w:pStyle w:val="BodyTextIndent"/>
        <w:tabs>
          <w:tab w:val="left" w:pos="990"/>
          <w:tab w:val="left" w:pos="6480"/>
          <w:tab w:val="left" w:pos="7560"/>
          <w:tab w:val="left" w:pos="8280"/>
        </w:tabs>
        <w:ind w:left="0" w:firstLine="0"/>
        <w:rPr>
          <w:b/>
          <w:bCs/>
          <w:sz w:val="28"/>
          <w:u w:val="single"/>
        </w:rPr>
      </w:pPr>
    </w:p>
    <w:p w:rsidR="00000000" w:rsidRDefault="00D93457">
      <w:pPr>
        <w:pStyle w:val="BodyTextIndent"/>
        <w:tabs>
          <w:tab w:val="left" w:pos="990"/>
          <w:tab w:val="left" w:pos="6480"/>
          <w:tab w:val="left" w:pos="7560"/>
          <w:tab w:val="left" w:pos="8280"/>
        </w:tabs>
        <w:ind w:left="0" w:firstLine="0"/>
      </w:pPr>
      <w:proofErr w:type="gramStart"/>
      <w:r>
        <w:t>Figu</w:t>
      </w:r>
      <w:r>
        <w:t>re 1.</w:t>
      </w:r>
      <w:proofErr w:type="gramEnd"/>
      <w:r>
        <w:t xml:space="preserve">  Passage histories at The Dalles Dam for the radio-tagged groups </w:t>
      </w:r>
    </w:p>
    <w:p w:rsidR="00000000" w:rsidRDefault="00D93457">
      <w:pPr>
        <w:pStyle w:val="BodyTextIndent"/>
        <w:tabs>
          <w:tab w:val="left" w:pos="990"/>
          <w:tab w:val="left" w:pos="7560"/>
          <w:tab w:val="left" w:pos="8280"/>
        </w:tabs>
        <w:ind w:left="0" w:firstLine="0"/>
      </w:pPr>
      <w:r>
        <w:tab/>
      </w:r>
      <w:proofErr w:type="gramStart"/>
      <w:r>
        <w:t>from</w:t>
      </w:r>
      <w:proofErr w:type="gramEnd"/>
      <w:r>
        <w:t xml:space="preserve"> Lower Granite, McNary and John Day dams.</w:t>
      </w:r>
      <w:r>
        <w:tab/>
      </w:r>
      <w:r>
        <w:tab/>
        <w:t>11</w:t>
      </w:r>
    </w:p>
    <w:p w:rsidR="00000000" w:rsidRDefault="00D93457">
      <w:pPr>
        <w:pStyle w:val="BodyTextIndent"/>
        <w:tabs>
          <w:tab w:val="left" w:pos="990"/>
          <w:tab w:val="left" w:pos="7560"/>
          <w:tab w:val="left" w:pos="8280"/>
        </w:tabs>
        <w:ind w:left="0" w:firstLine="0"/>
      </w:pPr>
    </w:p>
    <w:p w:rsidR="00000000" w:rsidRDefault="00D93457">
      <w:pPr>
        <w:pStyle w:val="BodyTextIndent"/>
        <w:tabs>
          <w:tab w:val="left" w:pos="990"/>
          <w:tab w:val="left" w:pos="7560"/>
          <w:tab w:val="left" w:pos="8280"/>
        </w:tabs>
        <w:ind w:left="0" w:firstLine="0"/>
      </w:pPr>
      <w:proofErr w:type="gramStart"/>
      <w:r>
        <w:t>Figure 2.</w:t>
      </w:r>
      <w:proofErr w:type="gramEnd"/>
      <w:r>
        <w:t xml:space="preserve">  Passage history at Bonneville Dam for the radio-tagged groups</w:t>
      </w:r>
    </w:p>
    <w:p w:rsidR="00000000" w:rsidRDefault="00D93457">
      <w:pPr>
        <w:pStyle w:val="BodyTextIndent"/>
        <w:tabs>
          <w:tab w:val="left" w:pos="990"/>
          <w:tab w:val="left" w:pos="7560"/>
          <w:tab w:val="left" w:pos="8280"/>
        </w:tabs>
        <w:ind w:left="0" w:firstLine="0"/>
      </w:pPr>
      <w:r>
        <w:tab/>
      </w:r>
      <w:proofErr w:type="gramStart"/>
      <w:r>
        <w:t>from</w:t>
      </w:r>
      <w:proofErr w:type="gramEnd"/>
      <w:r>
        <w:t xml:space="preserve"> Lower Granite, McNary and John Day dams.</w:t>
      </w:r>
      <w:r>
        <w:tab/>
      </w:r>
      <w:r>
        <w:tab/>
        <w:t>12</w:t>
      </w:r>
    </w:p>
    <w:p w:rsidR="00000000" w:rsidRDefault="00D93457">
      <w:pPr>
        <w:pStyle w:val="BodyTextIndent"/>
        <w:tabs>
          <w:tab w:val="left" w:pos="990"/>
          <w:tab w:val="left" w:pos="7560"/>
          <w:tab w:val="left" w:pos="8280"/>
        </w:tabs>
        <w:ind w:left="0" w:firstLine="0"/>
        <w:rPr>
          <w:b/>
          <w:caps/>
          <w:sz w:val="28"/>
          <w:u w:val="single"/>
        </w:rPr>
      </w:pPr>
      <w:r>
        <w:tab/>
      </w:r>
    </w:p>
    <w:p w:rsidR="00000000" w:rsidRDefault="00D93457">
      <w:pPr>
        <w:pStyle w:val="BodyTextIndent"/>
        <w:tabs>
          <w:tab w:val="left" w:pos="990"/>
          <w:tab w:val="left" w:pos="7560"/>
          <w:tab w:val="left" w:pos="8280"/>
        </w:tabs>
        <w:ind w:left="0" w:firstLine="0"/>
        <w:jc w:val="both"/>
      </w:pPr>
      <w:proofErr w:type="gramStart"/>
      <w:r>
        <w:t>Figure</w:t>
      </w:r>
      <w:r>
        <w:t xml:space="preserve"> 3.</w:t>
      </w:r>
      <w:proofErr w:type="gramEnd"/>
      <w:r>
        <w:t xml:space="preserve">  Number of radio-tagged kelts entering each forebay at Bonneville</w:t>
      </w:r>
    </w:p>
    <w:p w:rsidR="00000000" w:rsidRDefault="00D93457">
      <w:pPr>
        <w:pStyle w:val="BodyTextIndent"/>
        <w:tabs>
          <w:tab w:val="left" w:pos="990"/>
          <w:tab w:val="left" w:pos="7560"/>
          <w:tab w:val="left" w:pos="8280"/>
        </w:tabs>
        <w:ind w:left="0" w:firstLine="0"/>
        <w:jc w:val="both"/>
      </w:pPr>
      <w:r>
        <w:tab/>
        <w:t xml:space="preserve">Dam during the weeks of no spill and the number that </w:t>
      </w:r>
    </w:p>
    <w:p w:rsidR="00000000" w:rsidRDefault="00D93457">
      <w:pPr>
        <w:pStyle w:val="BodyTextIndent"/>
        <w:tabs>
          <w:tab w:val="left" w:pos="990"/>
          <w:tab w:val="left" w:pos="7560"/>
          <w:tab w:val="left" w:pos="8280"/>
        </w:tabs>
        <w:ind w:left="0" w:firstLine="0"/>
        <w:jc w:val="both"/>
      </w:pPr>
      <w:r>
        <w:tab/>
      </w:r>
      <w:proofErr w:type="gramStart"/>
      <w:r>
        <w:t>passed</w:t>
      </w:r>
      <w:proofErr w:type="gramEnd"/>
      <w:r>
        <w:t xml:space="preserve"> a different forebay than the one they entered.  Shown </w:t>
      </w:r>
    </w:p>
    <w:p w:rsidR="00000000" w:rsidRDefault="00D93457">
      <w:pPr>
        <w:pStyle w:val="BodyTextIndent"/>
        <w:tabs>
          <w:tab w:val="left" w:pos="990"/>
          <w:tab w:val="left" w:pos="7560"/>
          <w:tab w:val="left" w:pos="8280"/>
        </w:tabs>
        <w:ind w:left="0" w:firstLine="0"/>
        <w:jc w:val="both"/>
      </w:pPr>
      <w:r>
        <w:tab/>
      </w:r>
      <w:proofErr w:type="gramStart"/>
      <w:r>
        <w:t>are</w:t>
      </w:r>
      <w:proofErr w:type="gramEnd"/>
      <w:r>
        <w:t xml:space="preserve"> flow ranges for each forebay 1April through 15 May.</w:t>
      </w:r>
      <w:r>
        <w:tab/>
      </w:r>
      <w:r>
        <w:tab/>
        <w:t>13</w:t>
      </w:r>
    </w:p>
    <w:p w:rsidR="00000000" w:rsidRDefault="00D93457">
      <w:pPr>
        <w:pStyle w:val="BodyTextIndent"/>
        <w:tabs>
          <w:tab w:val="left" w:pos="990"/>
          <w:tab w:val="left" w:pos="7560"/>
          <w:tab w:val="left" w:pos="8280"/>
        </w:tabs>
        <w:ind w:left="0" w:firstLine="0"/>
        <w:jc w:val="both"/>
      </w:pPr>
    </w:p>
    <w:p w:rsidR="00000000" w:rsidRDefault="00D93457">
      <w:pPr>
        <w:tabs>
          <w:tab w:val="left" w:pos="990"/>
          <w:tab w:val="left" w:pos="7560"/>
          <w:tab w:val="left" w:pos="8280"/>
        </w:tabs>
      </w:pPr>
      <w:proofErr w:type="gramStart"/>
      <w:r>
        <w:t>Figure</w:t>
      </w:r>
      <w:r>
        <w:t xml:space="preserve"> 4.</w:t>
      </w:r>
      <w:proofErr w:type="gramEnd"/>
      <w:r>
        <w:t xml:space="preserve">  Number of radio-tagged kelts entering each forebay at Bonneville</w:t>
      </w:r>
    </w:p>
    <w:p w:rsidR="00000000" w:rsidRDefault="00D93457">
      <w:pPr>
        <w:tabs>
          <w:tab w:val="left" w:pos="990"/>
          <w:tab w:val="left" w:pos="7560"/>
          <w:tab w:val="left" w:pos="8280"/>
        </w:tabs>
      </w:pPr>
      <w:r>
        <w:tab/>
        <w:t>Dam during the weeks of spill and the number that passed a diff-</w:t>
      </w:r>
    </w:p>
    <w:p w:rsidR="00000000" w:rsidRDefault="00D93457">
      <w:pPr>
        <w:tabs>
          <w:tab w:val="left" w:pos="990"/>
          <w:tab w:val="left" w:pos="7560"/>
          <w:tab w:val="left" w:pos="8280"/>
        </w:tabs>
      </w:pPr>
      <w:r>
        <w:tab/>
      </w:r>
      <w:proofErr w:type="gramStart"/>
      <w:r>
        <w:t>erent</w:t>
      </w:r>
      <w:proofErr w:type="gramEnd"/>
      <w:r>
        <w:t xml:space="preserve"> forebay than the one they entered.  Shown are flow ranges for </w:t>
      </w:r>
    </w:p>
    <w:p w:rsidR="00000000" w:rsidRDefault="00D93457">
      <w:pPr>
        <w:tabs>
          <w:tab w:val="left" w:pos="990"/>
          <w:tab w:val="left" w:pos="7560"/>
          <w:tab w:val="left" w:pos="8280"/>
        </w:tabs>
      </w:pPr>
      <w:r>
        <w:tab/>
      </w:r>
      <w:proofErr w:type="gramStart"/>
      <w:r>
        <w:t>each</w:t>
      </w:r>
      <w:proofErr w:type="gramEnd"/>
      <w:r>
        <w:t xml:space="preserve"> forebay, 16 May through 16 June.</w:t>
      </w:r>
      <w:r>
        <w:tab/>
      </w:r>
      <w:r>
        <w:tab/>
        <w:t>14</w:t>
      </w:r>
    </w:p>
    <w:p w:rsidR="00000000" w:rsidRDefault="00D93457">
      <w:pPr>
        <w:pStyle w:val="Header"/>
        <w:tabs>
          <w:tab w:val="clear" w:pos="4320"/>
          <w:tab w:val="clear" w:pos="8640"/>
          <w:tab w:val="left" w:pos="990"/>
          <w:tab w:val="left" w:pos="7560"/>
          <w:tab w:val="left" w:pos="8280"/>
        </w:tabs>
      </w:pPr>
    </w:p>
    <w:p w:rsidR="00000000" w:rsidRDefault="00D93457">
      <w:pPr>
        <w:pStyle w:val="Header"/>
        <w:tabs>
          <w:tab w:val="clear" w:pos="4320"/>
          <w:tab w:val="clear" w:pos="8640"/>
          <w:tab w:val="left" w:pos="990"/>
          <w:tab w:val="left" w:pos="7560"/>
          <w:tab w:val="left" w:pos="8280"/>
        </w:tabs>
      </w:pPr>
      <w:proofErr w:type="gramStart"/>
      <w:r>
        <w:t>Figure</w:t>
      </w:r>
      <w:r>
        <w:t xml:space="preserve"> 5.</w:t>
      </w:r>
      <w:proofErr w:type="gramEnd"/>
      <w:r>
        <w:t xml:space="preserve">  Contact and recapture percentage for the radio-tagged groups</w:t>
      </w:r>
    </w:p>
    <w:p w:rsidR="00000000" w:rsidRDefault="00D93457">
      <w:pPr>
        <w:pStyle w:val="Header"/>
        <w:tabs>
          <w:tab w:val="clear" w:pos="4320"/>
          <w:tab w:val="clear" w:pos="8640"/>
          <w:tab w:val="left" w:pos="990"/>
          <w:tab w:val="left" w:pos="7560"/>
          <w:tab w:val="left" w:pos="8280"/>
        </w:tabs>
      </w:pPr>
      <w:r>
        <w:tab/>
      </w:r>
      <w:proofErr w:type="gramStart"/>
      <w:r>
        <w:t>from</w:t>
      </w:r>
      <w:proofErr w:type="gramEnd"/>
      <w:r>
        <w:t xml:space="preserve"> Lower Granite, McNary, and John Day dams.</w:t>
      </w:r>
      <w:r>
        <w:tab/>
      </w:r>
      <w:r>
        <w:tab/>
        <w:t>15</w:t>
      </w:r>
    </w:p>
    <w:p w:rsidR="00000000" w:rsidRDefault="00D93457">
      <w:pPr>
        <w:pStyle w:val="Header"/>
        <w:tabs>
          <w:tab w:val="clear" w:pos="4320"/>
          <w:tab w:val="clear" w:pos="8640"/>
          <w:tab w:val="left" w:pos="990"/>
          <w:tab w:val="left" w:pos="7560"/>
          <w:tab w:val="left" w:pos="8280"/>
        </w:tabs>
      </w:pPr>
    </w:p>
    <w:p w:rsidR="00000000" w:rsidRDefault="00D93457">
      <w:pPr>
        <w:pStyle w:val="Header"/>
        <w:tabs>
          <w:tab w:val="clear" w:pos="4320"/>
          <w:tab w:val="clear" w:pos="8640"/>
          <w:tab w:val="left" w:pos="990"/>
          <w:tab w:val="left" w:pos="7560"/>
          <w:tab w:val="left" w:pos="8280"/>
        </w:tabs>
      </w:pPr>
    </w:p>
    <w:p w:rsidR="00000000" w:rsidRDefault="00D93457">
      <w:pPr>
        <w:tabs>
          <w:tab w:val="left" w:pos="990"/>
          <w:tab w:val="left" w:pos="7560"/>
          <w:tab w:val="left" w:pos="8280"/>
        </w:tabs>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ing2"/>
      </w:pPr>
    </w:p>
    <w:p w:rsidR="00000000" w:rsidRDefault="00D93457"/>
    <w:p w:rsidR="00000000" w:rsidRDefault="00D93457">
      <w:r>
        <w:tab/>
      </w: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er"/>
        <w:tabs>
          <w:tab w:val="clear" w:pos="4320"/>
          <w:tab w:val="clear" w:pos="8640"/>
          <w:tab w:val="left" w:pos="1440"/>
          <w:tab w:val="left" w:pos="7560"/>
          <w:tab w:val="left" w:pos="8280"/>
        </w:tabs>
        <w:jc w:val="center"/>
        <w:rPr>
          <w:b/>
          <w:bCs/>
          <w:sz w:val="28"/>
          <w:szCs w:val="20"/>
          <w:u w:val="single"/>
        </w:rPr>
      </w:pPr>
      <w:r>
        <w:rPr>
          <w:b/>
          <w:bCs/>
          <w:sz w:val="28"/>
          <w:szCs w:val="20"/>
          <w:u w:val="single"/>
        </w:rPr>
        <w:lastRenderedPageBreak/>
        <w:t>LIST OF APPENDICES</w:t>
      </w:r>
    </w:p>
    <w:p w:rsidR="00000000" w:rsidRDefault="00D93457">
      <w:pPr>
        <w:pStyle w:val="Header"/>
        <w:tabs>
          <w:tab w:val="clear" w:pos="4320"/>
          <w:tab w:val="clear" w:pos="8640"/>
          <w:tab w:val="left" w:pos="1440"/>
          <w:tab w:val="left" w:pos="7560"/>
          <w:tab w:val="left" w:pos="8280"/>
        </w:tabs>
        <w:jc w:val="center"/>
        <w:rPr>
          <w:b/>
          <w:bCs/>
          <w:sz w:val="28"/>
          <w:szCs w:val="20"/>
          <w:u w:val="single"/>
        </w:rPr>
      </w:pPr>
    </w:p>
    <w:p w:rsidR="00000000" w:rsidRDefault="00D93457">
      <w:pPr>
        <w:pStyle w:val="Heading2"/>
        <w:rPr>
          <w:sz w:val="24"/>
        </w:rPr>
      </w:pPr>
      <w:r>
        <w:rPr>
          <w:sz w:val="24"/>
        </w:rPr>
        <w:t xml:space="preserve">Appendix A – </w:t>
      </w:r>
      <w:r>
        <w:rPr>
          <w:b w:val="0"/>
          <w:bCs/>
          <w:sz w:val="24"/>
        </w:rPr>
        <w:t>Tables and Figures</w:t>
      </w:r>
    </w:p>
    <w:p w:rsidR="00000000" w:rsidRDefault="00D93457">
      <w:pPr>
        <w:pStyle w:val="Heading2"/>
        <w:rPr>
          <w:rFonts w:ascii="Arial" w:hAnsi="Arial"/>
          <w:sz w:val="20"/>
        </w:rPr>
      </w:pPr>
    </w:p>
    <w:p w:rsidR="00000000" w:rsidRDefault="00D93457">
      <w:pPr>
        <w:pStyle w:val="Header"/>
        <w:tabs>
          <w:tab w:val="clear" w:pos="4320"/>
          <w:tab w:val="clear" w:pos="8640"/>
          <w:tab w:val="left" w:pos="720"/>
          <w:tab w:val="left" w:pos="7560"/>
          <w:tab w:val="left" w:pos="8280"/>
        </w:tabs>
        <w:ind w:left="720"/>
        <w:rPr>
          <w:sz w:val="28"/>
          <w:szCs w:val="20"/>
        </w:rPr>
      </w:pPr>
      <w:proofErr w:type="gramStart"/>
      <w:r>
        <w:t>Table A-1.</w:t>
      </w:r>
      <w:proofErr w:type="gramEnd"/>
      <w:r>
        <w:t xml:space="preserve">  Summary of the sample date, samp</w:t>
      </w:r>
      <w:r>
        <w:t>le size (n), mean, standard deviation (SD) and range of the fork length (cm), sex, origin and ultrasound diagnostic of steelhead from McNary Dam in spring of 2001.</w:t>
      </w:r>
      <w:r>
        <w:tab/>
      </w:r>
      <w:r>
        <w:tab/>
      </w:r>
    </w:p>
    <w:p w:rsidR="00000000" w:rsidRDefault="00D93457">
      <w:pPr>
        <w:pStyle w:val="Header"/>
        <w:tabs>
          <w:tab w:val="clear" w:pos="4320"/>
          <w:tab w:val="clear" w:pos="8640"/>
          <w:tab w:val="left" w:pos="1440"/>
          <w:tab w:val="left" w:pos="7560"/>
          <w:tab w:val="left" w:pos="8280"/>
        </w:tabs>
        <w:ind w:left="1440"/>
        <w:rPr>
          <w:sz w:val="28"/>
          <w:szCs w:val="20"/>
        </w:rPr>
      </w:pPr>
    </w:p>
    <w:p w:rsidR="00000000" w:rsidRDefault="00D93457">
      <w:pPr>
        <w:pStyle w:val="Header"/>
        <w:tabs>
          <w:tab w:val="clear" w:pos="4320"/>
          <w:tab w:val="clear" w:pos="8640"/>
          <w:tab w:val="left" w:pos="720"/>
          <w:tab w:val="left" w:pos="7560"/>
          <w:tab w:val="left" w:pos="8280"/>
        </w:tabs>
        <w:ind w:left="720"/>
      </w:pPr>
      <w:proofErr w:type="gramStart"/>
      <w:r>
        <w:t>Table A-2.</w:t>
      </w:r>
      <w:proofErr w:type="gramEnd"/>
      <w:r>
        <w:t xml:space="preserve">  Summary of the sample date, sample size (n), mean, standard deviation (SD) an</w:t>
      </w:r>
      <w:r>
        <w:t>d range of the fork length (cm), sex, origin and ultrasound diagnostic of steelhead from John Day Dam in spring of 2001.</w:t>
      </w:r>
      <w:r>
        <w:tab/>
      </w:r>
      <w:r>
        <w:tab/>
      </w:r>
    </w:p>
    <w:p w:rsidR="00000000" w:rsidRDefault="00D93457">
      <w:pPr>
        <w:pStyle w:val="BodyText"/>
        <w:tabs>
          <w:tab w:val="left" w:pos="1440"/>
          <w:tab w:val="left" w:pos="8298"/>
        </w:tabs>
        <w:ind w:left="1440"/>
        <w:rPr>
          <w:sz w:val="28"/>
          <w:szCs w:val="20"/>
        </w:rPr>
      </w:pPr>
    </w:p>
    <w:p w:rsidR="00000000" w:rsidRDefault="00D93457">
      <w:pPr>
        <w:pStyle w:val="BodyText"/>
        <w:tabs>
          <w:tab w:val="left" w:pos="720"/>
          <w:tab w:val="left" w:pos="8298"/>
        </w:tabs>
        <w:ind w:left="720"/>
      </w:pPr>
      <w:r>
        <w:t xml:space="preserve">Figure A-1.  Weekly proportion of the total steelhead population sampled at </w:t>
      </w:r>
    </w:p>
    <w:p w:rsidR="00000000" w:rsidRDefault="00D93457">
      <w:pPr>
        <w:pStyle w:val="BodyText"/>
        <w:tabs>
          <w:tab w:val="left" w:pos="720"/>
          <w:tab w:val="left" w:pos="8298"/>
        </w:tabs>
        <w:ind w:left="720"/>
      </w:pPr>
      <w:proofErr w:type="gramStart"/>
      <w:r>
        <w:t>the</w:t>
      </w:r>
      <w:proofErr w:type="gramEnd"/>
      <w:r>
        <w:t xml:space="preserve"> smolt monitoring facility at John Day Dam, Columbia</w:t>
      </w:r>
      <w:r>
        <w:t xml:space="preserve"> River 2001.</w:t>
      </w:r>
    </w:p>
    <w:p w:rsidR="00000000" w:rsidRDefault="00D93457">
      <w:pPr>
        <w:pStyle w:val="BodyText"/>
        <w:tabs>
          <w:tab w:val="left" w:pos="720"/>
          <w:tab w:val="left" w:pos="8298"/>
        </w:tabs>
        <w:ind w:left="720"/>
      </w:pPr>
    </w:p>
    <w:p w:rsidR="00000000" w:rsidRDefault="00D93457">
      <w:pPr>
        <w:pStyle w:val="BodyText"/>
        <w:tabs>
          <w:tab w:val="left" w:pos="720"/>
          <w:tab w:val="left" w:pos="8298"/>
        </w:tabs>
        <w:ind w:left="720"/>
      </w:pPr>
      <w:r>
        <w:t xml:space="preserve">Figure A-2.  Weekly proportion of the total steelhead population sampled at </w:t>
      </w:r>
    </w:p>
    <w:p w:rsidR="00000000" w:rsidRDefault="00D93457">
      <w:pPr>
        <w:pStyle w:val="BodyText"/>
        <w:tabs>
          <w:tab w:val="left" w:pos="720"/>
          <w:tab w:val="left" w:pos="8298"/>
        </w:tabs>
        <w:ind w:left="720"/>
      </w:pPr>
      <w:proofErr w:type="gramStart"/>
      <w:r>
        <w:t>the</w:t>
      </w:r>
      <w:proofErr w:type="gramEnd"/>
      <w:r>
        <w:t xml:space="preserve"> juvenile fish facility separator of McNary Dam, Columbia River 2001.</w:t>
      </w:r>
    </w:p>
    <w:p w:rsidR="00000000" w:rsidRDefault="00D93457">
      <w:pPr>
        <w:pStyle w:val="BodyText"/>
        <w:tabs>
          <w:tab w:val="left" w:pos="720"/>
          <w:tab w:val="left" w:pos="8298"/>
        </w:tabs>
        <w:ind w:left="720"/>
        <w:rPr>
          <w:szCs w:val="20"/>
        </w:rPr>
      </w:pPr>
    </w:p>
    <w:p w:rsidR="00000000" w:rsidRDefault="00D93457">
      <w:pPr>
        <w:pStyle w:val="Heading2"/>
        <w:rPr>
          <w:b w:val="0"/>
          <w:bCs/>
          <w:sz w:val="24"/>
        </w:rPr>
      </w:pPr>
      <w:r>
        <w:rPr>
          <w:sz w:val="24"/>
        </w:rPr>
        <w:t xml:space="preserve">Appendix B – </w:t>
      </w:r>
      <w:r>
        <w:rPr>
          <w:b w:val="0"/>
          <w:bCs/>
          <w:sz w:val="24"/>
        </w:rPr>
        <w:t>Kelt Telemetry Populace and Receiver Sites</w:t>
      </w:r>
    </w:p>
    <w:p w:rsidR="00000000" w:rsidRDefault="00D93457">
      <w:pPr>
        <w:pStyle w:val="Header"/>
        <w:tabs>
          <w:tab w:val="clear" w:pos="4320"/>
          <w:tab w:val="clear" w:pos="8640"/>
          <w:tab w:val="left" w:pos="720"/>
          <w:tab w:val="left" w:pos="7560"/>
          <w:tab w:val="left" w:pos="8280"/>
        </w:tabs>
      </w:pPr>
      <w:r>
        <w:rPr>
          <w:szCs w:val="20"/>
        </w:rPr>
        <w:tab/>
        <w:t xml:space="preserve"> </w:t>
      </w:r>
      <w:r>
        <w:tab/>
      </w:r>
      <w:r>
        <w:tab/>
      </w:r>
      <w:proofErr w:type="gramStart"/>
      <w:r>
        <w:t>Table B-1.</w:t>
      </w:r>
      <w:proofErr w:type="gramEnd"/>
      <w:r>
        <w:t xml:space="preserve">  Summary of the coll</w:t>
      </w:r>
      <w:r>
        <w:t xml:space="preserve">ection location and date, sample size (n), mean, </w:t>
      </w:r>
    </w:p>
    <w:p w:rsidR="00000000" w:rsidRDefault="00D93457">
      <w:pPr>
        <w:pStyle w:val="Header"/>
        <w:tabs>
          <w:tab w:val="clear" w:pos="4320"/>
          <w:tab w:val="clear" w:pos="8640"/>
          <w:tab w:val="left" w:pos="720"/>
          <w:tab w:val="left" w:pos="7560"/>
          <w:tab w:val="left" w:pos="8280"/>
        </w:tabs>
      </w:pPr>
      <w:r>
        <w:tab/>
      </w:r>
      <w:proofErr w:type="gramStart"/>
      <w:r>
        <w:t>standard</w:t>
      </w:r>
      <w:proofErr w:type="gramEnd"/>
      <w:r>
        <w:t xml:space="preserve"> deviation (SD) and range of the fork length (cm), sex, and origin of </w:t>
      </w:r>
    </w:p>
    <w:p w:rsidR="00000000" w:rsidRDefault="00D93457">
      <w:pPr>
        <w:pStyle w:val="Header"/>
        <w:tabs>
          <w:tab w:val="clear" w:pos="4320"/>
          <w:tab w:val="clear" w:pos="8640"/>
          <w:tab w:val="left" w:pos="720"/>
          <w:tab w:val="left" w:pos="7560"/>
          <w:tab w:val="left" w:pos="8280"/>
        </w:tabs>
      </w:pPr>
      <w:r>
        <w:tab/>
      </w:r>
      <w:proofErr w:type="gramStart"/>
      <w:r>
        <w:t>radio-tagged</w:t>
      </w:r>
      <w:proofErr w:type="gramEnd"/>
      <w:r>
        <w:t xml:space="preserve"> steelhead kelts in 2001.  </w:t>
      </w:r>
    </w:p>
    <w:p w:rsidR="00000000" w:rsidRDefault="00D93457">
      <w:pPr>
        <w:pStyle w:val="Header"/>
        <w:tabs>
          <w:tab w:val="clear" w:pos="4320"/>
          <w:tab w:val="clear" w:pos="8640"/>
          <w:tab w:val="left" w:pos="720"/>
          <w:tab w:val="left" w:pos="7560"/>
          <w:tab w:val="left" w:pos="8280"/>
        </w:tabs>
      </w:pPr>
      <w:r>
        <w:tab/>
      </w:r>
    </w:p>
    <w:p w:rsidR="00000000" w:rsidRDefault="00D93457">
      <w:pPr>
        <w:pStyle w:val="Header"/>
        <w:tabs>
          <w:tab w:val="clear" w:pos="4320"/>
          <w:tab w:val="clear" w:pos="8640"/>
          <w:tab w:val="left" w:pos="720"/>
          <w:tab w:val="left" w:pos="7560"/>
          <w:tab w:val="left" w:pos="8280"/>
        </w:tabs>
      </w:pPr>
      <w:r>
        <w:tab/>
        <w:t xml:space="preserve">Fixed receiver/antenna stations installed and maintained by University </w:t>
      </w:r>
    </w:p>
    <w:p w:rsidR="00000000" w:rsidRDefault="00D93457">
      <w:pPr>
        <w:pStyle w:val="Header"/>
        <w:tabs>
          <w:tab w:val="clear" w:pos="4320"/>
          <w:tab w:val="clear" w:pos="8640"/>
          <w:tab w:val="left" w:pos="720"/>
          <w:tab w:val="left" w:pos="7560"/>
          <w:tab w:val="left" w:pos="8280"/>
        </w:tabs>
      </w:pPr>
      <w:r>
        <w:tab/>
      </w:r>
      <w:proofErr w:type="gramStart"/>
      <w:r>
        <w:t>of</w:t>
      </w:r>
      <w:proofErr w:type="gramEnd"/>
      <w:r>
        <w:t xml:space="preserve"> Idaho </w:t>
      </w:r>
      <w:r>
        <w:t>made available to Fisheries Field Unit and CRITFC.</w:t>
      </w:r>
    </w:p>
    <w:p w:rsidR="00000000" w:rsidRDefault="00D93457">
      <w:pPr>
        <w:pStyle w:val="Header"/>
        <w:tabs>
          <w:tab w:val="clear" w:pos="4320"/>
          <w:tab w:val="clear" w:pos="8640"/>
          <w:tab w:val="left" w:pos="720"/>
          <w:tab w:val="left" w:pos="7560"/>
          <w:tab w:val="left" w:pos="8280"/>
        </w:tabs>
        <w:rPr>
          <w:sz w:val="28"/>
          <w:szCs w:val="20"/>
        </w:rPr>
      </w:pPr>
    </w:p>
    <w:p w:rsidR="00000000" w:rsidRDefault="00D93457">
      <w:pPr>
        <w:pStyle w:val="Header"/>
        <w:tabs>
          <w:tab w:val="clear" w:pos="4320"/>
          <w:tab w:val="clear" w:pos="8640"/>
          <w:tab w:val="left" w:pos="720"/>
          <w:tab w:val="left" w:pos="7560"/>
          <w:tab w:val="left" w:pos="8280"/>
        </w:tabs>
        <w:rPr>
          <w:szCs w:val="20"/>
        </w:rPr>
      </w:pPr>
      <w:r>
        <w:rPr>
          <w:sz w:val="28"/>
          <w:szCs w:val="20"/>
        </w:rPr>
        <w:tab/>
      </w:r>
      <w:r>
        <w:rPr>
          <w:szCs w:val="20"/>
        </w:rPr>
        <w:t xml:space="preserve">USGS Telemetry Site Maps for 2002 for </w:t>
      </w:r>
      <w:proofErr w:type="gramStart"/>
      <w:r>
        <w:rPr>
          <w:szCs w:val="20"/>
        </w:rPr>
        <w:t>The</w:t>
      </w:r>
      <w:proofErr w:type="gramEnd"/>
      <w:r>
        <w:rPr>
          <w:szCs w:val="20"/>
        </w:rPr>
        <w:t xml:space="preserve"> Dalles and Bonneville Dams.</w:t>
      </w:r>
    </w:p>
    <w:p w:rsidR="00000000" w:rsidRDefault="00D93457">
      <w:pPr>
        <w:pStyle w:val="Header"/>
        <w:tabs>
          <w:tab w:val="clear" w:pos="4320"/>
          <w:tab w:val="clear" w:pos="8640"/>
          <w:tab w:val="left" w:pos="720"/>
          <w:tab w:val="left" w:pos="7560"/>
          <w:tab w:val="left" w:pos="8280"/>
        </w:tabs>
        <w:rPr>
          <w:sz w:val="28"/>
          <w:szCs w:val="20"/>
        </w:rPr>
      </w:pPr>
    </w:p>
    <w:p w:rsidR="00000000" w:rsidRDefault="00D93457">
      <w:pPr>
        <w:pStyle w:val="Heading2"/>
        <w:rPr>
          <w:sz w:val="24"/>
        </w:rPr>
      </w:pPr>
      <w:r>
        <w:rPr>
          <w:sz w:val="24"/>
        </w:rPr>
        <w:t xml:space="preserve">Appendix C – </w:t>
      </w:r>
      <w:r>
        <w:rPr>
          <w:b w:val="0"/>
          <w:bCs/>
          <w:sz w:val="24"/>
        </w:rPr>
        <w:t>Morphology Key</w:t>
      </w:r>
    </w:p>
    <w:p w:rsidR="00000000" w:rsidRDefault="00D93457">
      <w:pPr>
        <w:pStyle w:val="Header"/>
        <w:tabs>
          <w:tab w:val="clear" w:pos="4320"/>
          <w:tab w:val="clear" w:pos="8640"/>
        </w:tabs>
        <w:rPr>
          <w:bCs/>
        </w:rPr>
      </w:pPr>
    </w:p>
    <w:p w:rsidR="00000000" w:rsidRDefault="00D93457">
      <w:pPr>
        <w:ind w:left="720"/>
      </w:pPr>
      <w:r>
        <w:t>Morphological Data Key – criteria used to categorize fish by condition, abdominal appearance and colora</w:t>
      </w:r>
      <w:r>
        <w:t>tion.</w:t>
      </w:r>
    </w:p>
    <w:p w:rsidR="00000000" w:rsidRDefault="00D93457">
      <w:pPr>
        <w:ind w:left="720"/>
      </w:pPr>
    </w:p>
    <w:p w:rsidR="00000000" w:rsidRDefault="00D93457">
      <w:pPr>
        <w:rPr>
          <w:b/>
          <w:bCs/>
        </w:rPr>
      </w:pPr>
      <w:r>
        <w:rPr>
          <w:b/>
          <w:bCs/>
        </w:rPr>
        <w:t xml:space="preserve">Appendix D - </w:t>
      </w:r>
      <w:r>
        <w:t>Tag Retention Test</w:t>
      </w:r>
    </w:p>
    <w:p w:rsidR="00000000" w:rsidRDefault="00D93457">
      <w:pPr>
        <w:ind w:left="720"/>
        <w:rPr>
          <w:color w:val="0000FF"/>
        </w:rPr>
      </w:pPr>
    </w:p>
    <w:p w:rsidR="00000000" w:rsidRDefault="00D93457">
      <w:pPr>
        <w:ind w:left="720"/>
      </w:pPr>
      <w:r>
        <w:t>Tag Retention Test Results – the number of days tags were retained on kelts</w:t>
      </w:r>
    </w:p>
    <w:p w:rsidR="00000000" w:rsidRDefault="00D93457">
      <w:r>
        <w:tab/>
      </w:r>
      <w:proofErr w:type="gramStart"/>
      <w:r>
        <w:t>held</w:t>
      </w:r>
      <w:proofErr w:type="gramEnd"/>
      <w:r>
        <w:t xml:space="preserve"> in fresh water tanks at the Bonneville SMF lab.</w:t>
      </w:r>
    </w:p>
    <w:p w:rsidR="00000000" w:rsidRDefault="00D93457"/>
    <w:p w:rsidR="00000000" w:rsidRDefault="00D93457">
      <w:pPr>
        <w:pStyle w:val="Heading2"/>
        <w:rPr>
          <w:sz w:val="24"/>
        </w:rPr>
      </w:pPr>
      <w:r>
        <w:rPr>
          <w:sz w:val="24"/>
        </w:rPr>
        <w:t xml:space="preserve">Appendix E – </w:t>
      </w:r>
      <w:r>
        <w:rPr>
          <w:b w:val="0"/>
          <w:bCs/>
          <w:sz w:val="24"/>
        </w:rPr>
        <w:t>Test Schedule 2001</w:t>
      </w:r>
    </w:p>
    <w:p w:rsidR="00000000" w:rsidRDefault="00D93457"/>
    <w:p w:rsidR="00000000" w:rsidRDefault="00D93457">
      <w:pPr>
        <w:ind w:firstLine="720"/>
        <w:rPr>
          <w:b/>
          <w:bCs/>
        </w:rPr>
      </w:pPr>
      <w:proofErr w:type="gramStart"/>
      <w:r>
        <w:t>Schedule of occlusion plate status at The Dalles Dam</w:t>
      </w:r>
      <w:r>
        <w:t xml:space="preserve"> from 1 April to 30 June.</w:t>
      </w:r>
      <w:proofErr w:type="gramEnd"/>
    </w:p>
    <w:p w:rsidR="00000000" w:rsidRDefault="00D93457">
      <w:pPr>
        <w:pStyle w:val="NormalIndent"/>
      </w:pPr>
    </w:p>
    <w:p w:rsidR="00000000" w:rsidRDefault="00D93457">
      <w:pPr>
        <w:ind w:left="720"/>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pPr>
    </w:p>
    <w:p w:rsidR="00000000" w:rsidRDefault="00D93457">
      <w:pPr>
        <w:pStyle w:val="BodyTextIndent"/>
        <w:ind w:left="0" w:firstLine="0"/>
        <w:jc w:val="center"/>
        <w:rPr>
          <w:b/>
          <w:caps/>
          <w:sz w:val="28"/>
          <w:u w:val="single"/>
        </w:rPr>
        <w:sectPr w:rsidR="00000000">
          <w:footerReference w:type="default" r:id="rId11"/>
          <w:headerReference w:type="first" r:id="rId12"/>
          <w:footerReference w:type="first" r:id="rId13"/>
          <w:type w:val="nextColumn"/>
          <w:pgSz w:w="12240" w:h="15840" w:code="1"/>
          <w:pgMar w:top="1440" w:right="1800" w:bottom="1440" w:left="1800" w:header="720" w:footer="720" w:gutter="0"/>
          <w:pgNumType w:fmt="lowerRoman" w:start="1"/>
          <w:cols w:space="720"/>
          <w:titlePg/>
          <w:docGrid w:linePitch="360"/>
        </w:sectPr>
      </w:pPr>
    </w:p>
    <w:p w:rsidR="00000000" w:rsidRDefault="00D93457">
      <w:pPr>
        <w:pStyle w:val="BodyTextIndent"/>
        <w:ind w:left="0" w:firstLine="0"/>
        <w:jc w:val="center"/>
        <w:rPr>
          <w:b/>
          <w:caps/>
          <w:sz w:val="28"/>
          <w:u w:val="single"/>
        </w:rPr>
      </w:pPr>
      <w:r>
        <w:rPr>
          <w:b/>
          <w:caps/>
          <w:sz w:val="28"/>
          <w:u w:val="single"/>
        </w:rPr>
        <w:lastRenderedPageBreak/>
        <w:t>Introduction</w:t>
      </w:r>
    </w:p>
    <w:p w:rsidR="00000000" w:rsidRDefault="00D93457">
      <w:pPr>
        <w:pStyle w:val="BodyTextIndent"/>
        <w:ind w:left="0"/>
      </w:pPr>
    </w:p>
    <w:p w:rsidR="00000000" w:rsidRDefault="00D93457">
      <w:pPr>
        <w:pStyle w:val="BodyTextIndent"/>
        <w:ind w:left="0"/>
        <w:rPr>
          <w:color w:val="FF0000"/>
        </w:rPr>
      </w:pPr>
      <w:r>
        <w:t>During their seaward migration from freshwater spawning habitats back to the Pacific Ocean, steelhead kelts are exposed to a variety of factors that affect their reproductive potential.  In the Federal Colum</w:t>
      </w:r>
      <w:r>
        <w:t>bia River Power System (FCRPS) of the Snake and Columbia rivers, the system-wide changes that are resultant</w:t>
      </w:r>
      <w:r>
        <w:rPr>
          <w:smallCaps/>
        </w:rPr>
        <w:t xml:space="preserve"> </w:t>
      </w:r>
      <w:r>
        <w:t xml:space="preserve">from impoundment are recognized to negatively affect iteroparity rates (NWPPC 1986, ISG 1996).  Despite this, the effects of hydroelectric projects </w:t>
      </w:r>
      <w:r>
        <w:t>on the survival and reproductive productivity of post-spawn Columbia Basin steelhead populations are poorly understood.  This and a companion study (Evans 2002) were conducted to further our knowledge on the run timing, project abundance, condition, passag</w:t>
      </w:r>
      <w:r>
        <w:t xml:space="preserve">e routes, and passage rates, from steelhead kelts during their seaward migration through the FCRPS of the Columbia Basin.  </w:t>
      </w:r>
    </w:p>
    <w:p w:rsidR="00000000" w:rsidRDefault="00D93457">
      <w:pPr>
        <w:pStyle w:val="BodyTextIndent"/>
        <w:ind w:left="0" w:firstLine="0"/>
      </w:pPr>
    </w:p>
    <w:p w:rsidR="00000000" w:rsidRDefault="00D93457">
      <w:pPr>
        <w:pStyle w:val="BodyTextIndent"/>
        <w:ind w:left="0"/>
        <w:rPr>
          <w:color w:val="FF0000"/>
        </w:rPr>
      </w:pPr>
      <w:r>
        <w:t xml:space="preserve">Limited information exists on the return rates of kelts passing through the FCRPS.  Concomitantly, data are lacking on the effects </w:t>
      </w:r>
      <w:r>
        <w:t>on kelts of spill and mechanical structures (screen systems, sluiceways, surface bypass systems) employed to enhance the passage and survival of juvenile migrants.  The efficiencies of spillways and mechanical structures, which are operated for guiding juv</w:t>
      </w:r>
      <w:r>
        <w:t>enile salmonids away from turbine units, vary by project, species, life stage, seasonal timing, river flow, and diel period (Whitney et al. 1997, NMFS 2000, Giorgi et al. 2002).</w:t>
      </w:r>
      <w:r>
        <w:rPr>
          <w:i/>
          <w:iCs/>
          <w:color w:val="FF0000"/>
        </w:rPr>
        <w:t xml:space="preserve">  </w:t>
      </w:r>
      <w:r>
        <w:t>Presently, it is believed that The Dalles Dam (TDA) spillway may not be a ben</w:t>
      </w:r>
      <w:r>
        <w:t>ign passage route during some spill conditions (Beeman et al. 2000).  Thus, the National Marine Fisheries Service (NMFS) has requested that spill volumes be limited to 64% of the total discharge pending further review of passage survival and spill efficien</w:t>
      </w:r>
      <w:r>
        <w:t xml:space="preserve">cy and effectiveness.  Studies at TDA have indicated that 30% spill may be just as effective at passing juvenile salmonids as spill levels near 60% of the total discharge (NMFS 1998).  The effects of spill levels on </w:t>
      </w:r>
      <w:proofErr w:type="gramStart"/>
      <w:r>
        <w:t>kelt</w:t>
      </w:r>
      <w:proofErr w:type="gramEnd"/>
      <w:r>
        <w:t xml:space="preserve"> passage and survival at The Dalles </w:t>
      </w:r>
      <w:r>
        <w:t xml:space="preserve">Dam and in the FCRPS are unclear.     </w:t>
      </w:r>
    </w:p>
    <w:p w:rsidR="00000000" w:rsidRDefault="00D93457">
      <w:pPr>
        <w:pStyle w:val="Date"/>
      </w:pPr>
    </w:p>
    <w:p w:rsidR="00000000" w:rsidRDefault="00D93457">
      <w:pPr>
        <w:ind w:firstLine="720"/>
      </w:pPr>
      <w:r>
        <w:t>To address the need for such data, we used radio telemetry to determine passage rates and passage routes of steelhead kelts migrating through lower Columbia River dams.  We also examine the feasibility of using adult</w:t>
      </w:r>
      <w:r>
        <w:t xml:space="preserve"> PIT detection technologies to document steelhead returns.  A better understanding of steelhead </w:t>
      </w:r>
      <w:proofErr w:type="gramStart"/>
      <w:r>
        <w:t>kelt</w:t>
      </w:r>
      <w:proofErr w:type="gramEnd"/>
      <w:r>
        <w:t xml:space="preserve"> abundance, passage, and survival through the FCRPS will enable managers to develop strategies and adapt collector and bypass systems to better complement t</w:t>
      </w:r>
      <w:r>
        <w:t>he reproductive potential of this species.  In this report, data are presented from radio-tagged</w:t>
      </w:r>
      <w:r>
        <w:rPr>
          <w:bCs/>
        </w:rPr>
        <w:t xml:space="preserve"> </w:t>
      </w:r>
      <w:r>
        <w:t>and PIT-tagged steelhead kelts released at McNary and John Day dams.  Also included are data from kelts radio-tagged and released by Columbia River Inter-triba</w:t>
      </w:r>
      <w:r>
        <w:t>l Fish Commission (CRITFC) personnel at Lower Granite Dam (Evans 2002).</w:t>
      </w:r>
    </w:p>
    <w:p w:rsidR="00000000" w:rsidRDefault="00D93457">
      <w:pPr>
        <w:pStyle w:val="BodyText2"/>
        <w:tabs>
          <w:tab w:val="clear" w:pos="0"/>
          <w:tab w:val="left" w:pos="-720"/>
        </w:tabs>
        <w:outlineLvl w:val="9"/>
      </w:pPr>
    </w:p>
    <w:p w:rsidR="00000000" w:rsidRDefault="00D93457">
      <w:pPr>
        <w:pStyle w:val="BodyTextIndent"/>
        <w:ind w:left="0"/>
        <w:rPr>
          <w:b/>
        </w:rPr>
      </w:pPr>
      <w:r>
        <w:t>The objectives of this study were to determine kelt:  1) abundance and condition for McNary and John Day dams, 2) downstream travel times, 3) times and routes of dam passage, 4) proje</w:t>
      </w:r>
      <w:r>
        <w:t xml:space="preserve">ct passage efficiencies and effectiveness 5) system conversion rates (through the I-205 Bridge; ~5 mile east of Portland Or.), and 6) return rates of steelhead to the Columbia River.    </w:t>
      </w:r>
    </w:p>
    <w:p w:rsidR="00000000" w:rsidRDefault="00D93457">
      <w:pPr>
        <w:pStyle w:val="BodyTextIndent"/>
        <w:tabs>
          <w:tab w:val="left" w:pos="3369"/>
          <w:tab w:val="center" w:pos="3960"/>
        </w:tabs>
        <w:ind w:left="0" w:firstLine="0"/>
        <w:jc w:val="center"/>
        <w:rPr>
          <w:b/>
          <w:caps/>
          <w:sz w:val="28"/>
          <w:u w:val="single"/>
        </w:rPr>
      </w:pPr>
    </w:p>
    <w:p w:rsidR="00000000" w:rsidRDefault="00D93457">
      <w:pPr>
        <w:pStyle w:val="BodyTextIndent"/>
        <w:tabs>
          <w:tab w:val="left" w:pos="3369"/>
          <w:tab w:val="center" w:pos="3960"/>
        </w:tabs>
        <w:ind w:left="0" w:firstLine="0"/>
        <w:jc w:val="center"/>
        <w:rPr>
          <w:b/>
          <w:caps/>
          <w:sz w:val="28"/>
          <w:u w:val="single"/>
        </w:rPr>
      </w:pPr>
      <w:r>
        <w:rPr>
          <w:b/>
          <w:caps/>
          <w:sz w:val="28"/>
          <w:u w:val="single"/>
        </w:rPr>
        <w:lastRenderedPageBreak/>
        <w:t>Methods</w:t>
      </w:r>
    </w:p>
    <w:p w:rsidR="00000000" w:rsidRDefault="00D93457">
      <w:pPr>
        <w:pStyle w:val="BlockText"/>
        <w:ind w:left="0" w:right="0"/>
        <w:rPr>
          <w:b/>
        </w:rPr>
      </w:pPr>
    </w:p>
    <w:p w:rsidR="00000000" w:rsidRDefault="00D93457">
      <w:pPr>
        <w:autoSpaceDE w:val="0"/>
        <w:autoSpaceDN w:val="0"/>
        <w:adjustRightInd w:val="0"/>
        <w:rPr>
          <w:b/>
          <w:bCs/>
        </w:rPr>
      </w:pPr>
      <w:r>
        <w:rPr>
          <w:b/>
          <w:bCs/>
        </w:rPr>
        <w:t xml:space="preserve">Study Sites- </w:t>
      </w:r>
    </w:p>
    <w:p w:rsidR="00000000" w:rsidRDefault="00D93457">
      <w:pPr>
        <w:autoSpaceDE w:val="0"/>
        <w:autoSpaceDN w:val="0"/>
        <w:adjustRightInd w:val="0"/>
        <w:ind w:firstLine="720"/>
      </w:pPr>
      <w:r>
        <w:t xml:space="preserve">The focus of this report is </w:t>
      </w:r>
      <w:proofErr w:type="gramStart"/>
      <w:r>
        <w:t>kelt</w:t>
      </w:r>
      <w:proofErr w:type="gramEnd"/>
      <w:r>
        <w:t xml:space="preserve"> project abun</w:t>
      </w:r>
      <w:r>
        <w:t>dance, passage, and conversion through the FCRPS mainstem Columbia River dams described below.</w:t>
      </w:r>
    </w:p>
    <w:p w:rsidR="00000000" w:rsidRDefault="00D93457">
      <w:pPr>
        <w:pStyle w:val="Heading1"/>
        <w:ind w:left="0" w:firstLine="0"/>
      </w:pPr>
    </w:p>
    <w:p w:rsidR="00000000" w:rsidRDefault="00D93457">
      <w:pPr>
        <w:ind w:firstLine="720"/>
      </w:pPr>
      <w:r>
        <w:rPr>
          <w:b/>
          <w:bCs/>
        </w:rPr>
        <w:t>McNary Dam,</w:t>
      </w:r>
      <w:r>
        <w:t xml:space="preserve"> located at river mile 292, is the last fish collection and transport facility on the Columbia River.  The navigation lock is located on the Washingt</w:t>
      </w:r>
      <w:r>
        <w:t xml:space="preserve">on shore with the spillway and powerhouse side by side perpendicular to river flow.  McNary’s spillway consists of 22 vertical lift gates.  The powerhouse contains 14 screened turbine units with a hydraulic capacity </w:t>
      </w:r>
      <w:proofErr w:type="gramStart"/>
      <w:r>
        <w:t>of 6,567 m</w:t>
      </w:r>
      <w:r>
        <w:rPr>
          <w:vertAlign w:val="superscript"/>
        </w:rPr>
        <w:t>3</w:t>
      </w:r>
      <w:r>
        <w:t>/s</w:t>
      </w:r>
      <w:proofErr w:type="gramEnd"/>
      <w:r>
        <w:t>.  There are two fish ladde</w:t>
      </w:r>
      <w:r>
        <w:t>rs at the dam for upstream passage, one located on each shore.</w:t>
      </w:r>
    </w:p>
    <w:p w:rsidR="00000000" w:rsidRDefault="00D93457">
      <w:pPr>
        <w:autoSpaceDE w:val="0"/>
        <w:autoSpaceDN w:val="0"/>
        <w:adjustRightInd w:val="0"/>
        <w:jc w:val="both"/>
      </w:pPr>
    </w:p>
    <w:p w:rsidR="00000000" w:rsidRDefault="00D93457">
      <w:pPr>
        <w:tabs>
          <w:tab w:val="left" w:pos="720"/>
        </w:tabs>
        <w:autoSpaceDE w:val="0"/>
        <w:autoSpaceDN w:val="0"/>
        <w:adjustRightInd w:val="0"/>
        <w:jc w:val="both"/>
        <w:rPr>
          <w:bCs/>
        </w:rPr>
      </w:pPr>
      <w:r>
        <w:rPr>
          <w:b/>
          <w:bCs/>
        </w:rPr>
        <w:tab/>
        <w:t>John Day Dam</w:t>
      </w:r>
      <w:r>
        <w:t xml:space="preserve"> is located at river mile 215.6.  The navigation lock is sited on the Washington shore with the spillway and powerhouse spanning the river to the Oregon shore.  The spillway has 2</w:t>
      </w:r>
      <w:r>
        <w:t xml:space="preserve">0 tainter gates.  The powerhouse, with 16 turbine units and four skeleton bays, has a hydraulic capacity </w:t>
      </w:r>
      <w:proofErr w:type="gramStart"/>
      <w:r>
        <w:t>of 9,113 m</w:t>
      </w:r>
      <w:r>
        <w:rPr>
          <w:vertAlign w:val="superscript"/>
        </w:rPr>
        <w:t>3</w:t>
      </w:r>
      <w:r>
        <w:t>/s</w:t>
      </w:r>
      <w:proofErr w:type="gramEnd"/>
      <w:r>
        <w:t>.  The turbine units are fully screened (one 14” diameter orifice per gatewell) to divert downstream migrants into a collection channel an</w:t>
      </w:r>
      <w:r>
        <w:t>d down to a smolt monitoring facility located on the Oregon shore.  This facility has the capacity to divert juvenile and adult fish to tanks within the lab.  There are two fish ladders at the dam, one on each shore.  T</w:t>
      </w:r>
      <w:r>
        <w:rPr>
          <w:bCs/>
        </w:rPr>
        <w:t xml:space="preserve">he John Day Pool (Lake Umatilla; 123 </w:t>
      </w:r>
      <w:r>
        <w:rPr>
          <w:bCs/>
        </w:rPr>
        <w:t>km) is approximately 76 miles.</w:t>
      </w:r>
    </w:p>
    <w:p w:rsidR="00000000" w:rsidRDefault="00D93457">
      <w:pPr>
        <w:pStyle w:val="BodyTextIndent"/>
        <w:ind w:left="0" w:firstLine="0"/>
        <w:outlineLvl w:val="1"/>
        <w:rPr>
          <w:b/>
        </w:rPr>
      </w:pPr>
    </w:p>
    <w:p w:rsidR="00000000" w:rsidRDefault="00D93457">
      <w:pPr>
        <w:ind w:firstLine="720"/>
      </w:pPr>
      <w:r>
        <w:rPr>
          <w:b/>
          <w:bCs/>
        </w:rPr>
        <w:t>The Dalles Dam</w:t>
      </w:r>
      <w:r>
        <w:t xml:space="preserve"> is located at river mile 191.5</w:t>
      </w:r>
      <w:proofErr w:type="gramStart"/>
      <w:r>
        <w:t xml:space="preserve">.   </w:t>
      </w:r>
      <w:proofErr w:type="gramEnd"/>
      <w:r>
        <w:t xml:space="preserve">It is a distinct project as the powerhouse, which contains 22 turbine units and two fish units, and </w:t>
      </w:r>
      <w:proofErr w:type="gramStart"/>
      <w:r>
        <w:t>it’s</w:t>
      </w:r>
      <w:proofErr w:type="gramEnd"/>
      <w:r>
        <w:t xml:space="preserve"> concrete overflow wall is positioned parallel to the river flow along </w:t>
      </w:r>
      <w:r>
        <w:t xml:space="preserve">the Oregon shoreline.  The hydraulic capacity of The Dalles is </w:t>
      </w:r>
      <w:proofErr w:type="gramStart"/>
      <w:r>
        <w:t>approximately 10,613 m</w:t>
      </w:r>
      <w:r>
        <w:rPr>
          <w:vertAlign w:val="superscript"/>
        </w:rPr>
        <w:t>3</w:t>
      </w:r>
      <w:r>
        <w:t>/s</w:t>
      </w:r>
      <w:proofErr w:type="gramEnd"/>
      <w:r>
        <w:t>.  The spillway connected to the overflow wall has 23 tainter gates and is perpendicular to the river flow</w:t>
      </w:r>
      <w:proofErr w:type="gramStart"/>
      <w:r>
        <w:t xml:space="preserve">.   </w:t>
      </w:r>
      <w:proofErr w:type="gramEnd"/>
      <w:r>
        <w:t>There are two fish ladders at the dam, one on each side of</w:t>
      </w:r>
      <w:r>
        <w:t xml:space="preserve"> the river.  There is no screening or bypass facility for downstream migrants at The Dalles.  Sluice gates and gatewell orifices (one 6” diameter orifice per gatewell) allow fish to pass into the sluiceway and around the powerhouse to the tailrace.  In 200</w:t>
      </w:r>
      <w:r>
        <w:t>1, blocking of the upper 45 feet of intake trash racks (occlusion) at the west end of the powerhouse was tested as a means of increasing sluiceway passage.  Blocking the upper portions of trash racks increases the flow field intensity near the channel bott</w:t>
      </w:r>
      <w:r>
        <w:t xml:space="preserve">om while decreasing mid-depth flow field intensity (NMFS 2000).  </w:t>
      </w:r>
      <w:r>
        <w:rPr>
          <w:bCs/>
        </w:rPr>
        <w:t xml:space="preserve">The Dalles pool (Lake Celilo; 35.9 km) is approximately 24 miles. </w:t>
      </w:r>
      <w:r>
        <w:t xml:space="preserve"> </w:t>
      </w:r>
    </w:p>
    <w:p w:rsidR="00000000" w:rsidRDefault="00D93457">
      <w:pPr>
        <w:ind w:firstLine="720"/>
      </w:pPr>
    </w:p>
    <w:p w:rsidR="00000000" w:rsidRDefault="00D93457">
      <w:pPr>
        <w:ind w:firstLine="720"/>
        <w:rPr>
          <w:b/>
          <w:bCs/>
          <w:i/>
          <w:iCs/>
          <w:color w:val="0000FF"/>
        </w:rPr>
      </w:pPr>
      <w:r>
        <w:rPr>
          <w:b/>
          <w:bCs/>
        </w:rPr>
        <w:t>Bonneville Dam</w:t>
      </w:r>
      <w:r>
        <w:t xml:space="preserve"> is located at river mile 145.5, and is unique among Columbia River Basin hydroelectric projects as it consi</w:t>
      </w:r>
      <w:r>
        <w:t>sts of two separate powerhouses and an unattached central spillway.</w:t>
      </w:r>
      <w:r>
        <w:rPr>
          <w:color w:val="FF0000"/>
        </w:rPr>
        <w:t xml:space="preserve">  </w:t>
      </w:r>
      <w:r>
        <w:t xml:space="preserve">Each powerhouse has </w:t>
      </w:r>
      <w:proofErr w:type="gramStart"/>
      <w:r>
        <w:t>it’s</w:t>
      </w:r>
      <w:proofErr w:type="gramEnd"/>
      <w:r>
        <w:t xml:space="preserve"> own adult fish ladder system and JBS.  At the powerhouses fish entering into the turbine intakes can pass above screen systems (guided) into gatewells or sound do</w:t>
      </w:r>
      <w:r>
        <w:t>wn through turbine units.  Fish that are guided into gatewells, could either pass through orifices</w:t>
      </w:r>
      <w:r>
        <w:rPr>
          <w:rStyle w:val="FootnoteReference"/>
        </w:rPr>
        <w:footnoteReference w:id="4"/>
      </w:r>
      <w:r>
        <w:t xml:space="preserve">into the juvenile bypass system (JBS), or sound through turbine intakes.  Powerhouse I (PH I) connects Oregon on the </w:t>
      </w:r>
      <w:r>
        <w:lastRenderedPageBreak/>
        <w:t>south shore and Bradford Island on the n</w:t>
      </w:r>
      <w:r>
        <w:t>orth and contains ten turbine units with a total hydraulic capacity of ~ 3,850 m</w:t>
      </w:r>
      <w:r>
        <w:rPr>
          <w:vertAlign w:val="superscript"/>
        </w:rPr>
        <w:t>3</w:t>
      </w:r>
      <w:r>
        <w:t>/s.  The Bonneville Dam spillway, which lies between Bradford and Cascades Islands, has 18 spill gates that are raised vertically allowing water to flow under the gates and do</w:t>
      </w:r>
      <w:r>
        <w:t xml:space="preserve">wn an ogee spillway.  Powerhouse II (PH II) is separated from the spillway on the south end by Cascades Island and connected to the Washington shore on the north end.  It contains eight turbine units and two fish units with a total hydraulic capacity </w:t>
      </w:r>
      <w:proofErr w:type="gramStart"/>
      <w:r>
        <w:t>of ab</w:t>
      </w:r>
      <w:r>
        <w:t>out 4,332 m</w:t>
      </w:r>
      <w:r>
        <w:rPr>
          <w:vertAlign w:val="superscript"/>
        </w:rPr>
        <w:t>3</w:t>
      </w:r>
      <w:r>
        <w:t>/s</w:t>
      </w:r>
      <w:proofErr w:type="gramEnd"/>
      <w:r>
        <w:t xml:space="preserve">.  </w:t>
      </w:r>
      <w:r>
        <w:rPr>
          <w:bCs/>
        </w:rPr>
        <w:t xml:space="preserve">The Bonneville pool (Lake Bonneville; 74 km) is approximately 46 miles. </w:t>
      </w:r>
    </w:p>
    <w:p w:rsidR="00000000" w:rsidRDefault="00D93457">
      <w:pPr>
        <w:pStyle w:val="BlockText"/>
        <w:ind w:left="0" w:right="0"/>
        <w:rPr>
          <w:b/>
          <w:bCs/>
        </w:rPr>
      </w:pPr>
    </w:p>
    <w:p w:rsidR="00000000" w:rsidRDefault="00D93457">
      <w:pPr>
        <w:pStyle w:val="BlockText"/>
        <w:ind w:left="0" w:right="0"/>
        <w:rPr>
          <w:b/>
          <w:bCs/>
        </w:rPr>
      </w:pPr>
      <w:r>
        <w:rPr>
          <w:b/>
          <w:bCs/>
        </w:rPr>
        <w:t>Kelt Sampling</w:t>
      </w:r>
    </w:p>
    <w:p w:rsidR="00000000" w:rsidRDefault="00D93457">
      <w:pPr>
        <w:pStyle w:val="BodyTextIndent"/>
        <w:tabs>
          <w:tab w:val="left" w:pos="0"/>
        </w:tabs>
        <w:ind w:left="0" w:firstLine="0"/>
      </w:pPr>
      <w:r>
        <w:tab/>
        <w:t xml:space="preserve">Seaward migrating kelts were obtained from the U.S. Army Corps of Engineers </w:t>
      </w:r>
    </w:p>
    <w:p w:rsidR="00000000" w:rsidRDefault="00D93457">
      <w:pPr>
        <w:pStyle w:val="BodyTextIndent"/>
        <w:tabs>
          <w:tab w:val="left" w:pos="2160"/>
        </w:tabs>
        <w:ind w:left="0" w:firstLine="0"/>
        <w:rPr>
          <w:color w:val="0000FF"/>
        </w:rPr>
      </w:pPr>
      <w:proofErr w:type="gramStart"/>
      <w:r>
        <w:t>(COE) smolt monitoring facilities (SMF) at McNary (McN) and John Day (JDD</w:t>
      </w:r>
      <w:r>
        <w:t>) dams.</w:t>
      </w:r>
      <w:proofErr w:type="gramEnd"/>
      <w:r>
        <w:t xml:space="preserve">  Steelhead were removed from either the bypass separator at McN, or the adult holding tank at JDD, and transferred via sanctuary dip-net to a nearby sampling tank containing river water with a buffered solution of clove oil at 30 mg/L (Prince and P</w:t>
      </w:r>
      <w:r>
        <w:t>owell 2000).  To differentiate between kelts and pre-spawn fallbacks, specimens were scanned with an Aloka</w:t>
      </w:r>
      <w:r>
        <w:sym w:font="Symbol" w:char="F0E2"/>
      </w:r>
      <w:r>
        <w:rPr>
          <w:rStyle w:val="FootnoteReference"/>
        </w:rPr>
        <w:footnoteReference w:id="5"/>
      </w:r>
      <w:r>
        <w:t xml:space="preserve"> ultrasound machine to assess gonadal maturation and sex (Evans and Beaty 2000).  Sexually mature steelhead were released back to the bypass system,</w:t>
      </w:r>
      <w:r>
        <w:t xml:space="preserve"> while confirmed post-spawn fish were classified as kelts and retained.  For the purpose of this validation, we assumed ultrasound correctly classified maturation with 100% accuracy.  Previous work suggests ultrasound correctly classifies the maturation st</w:t>
      </w:r>
      <w:r>
        <w:t>atus of 98% of the male and 100% of the female steelhead (Evans and Beaty 2000).  Kelts were</w:t>
      </w:r>
      <w:r>
        <w:rPr>
          <w:color w:val="0000FF"/>
        </w:rPr>
        <w:t xml:space="preserve"> </w:t>
      </w:r>
      <w:r>
        <w:t>scanned for the presence of radio and PIT tags prior to tagging.  If a tag was detected, fish condition factors were enumerated, tag number and tag type denoted, a</w:t>
      </w:r>
      <w:r>
        <w:t xml:space="preserve">nd the </w:t>
      </w:r>
      <w:proofErr w:type="gramStart"/>
      <w:r>
        <w:t>kelt</w:t>
      </w:r>
      <w:proofErr w:type="gramEnd"/>
      <w:r>
        <w:t xml:space="preserve"> placed into the recovery area.  </w:t>
      </w:r>
    </w:p>
    <w:p w:rsidR="00000000" w:rsidRDefault="00D93457">
      <w:pPr>
        <w:pStyle w:val="BodyTextIndent"/>
        <w:tabs>
          <w:tab w:val="left" w:pos="720"/>
        </w:tabs>
        <w:ind w:left="0" w:firstLine="0"/>
        <w:jc w:val="both"/>
        <w:rPr>
          <w:color w:val="0000FF"/>
        </w:rPr>
      </w:pPr>
    </w:p>
    <w:p w:rsidR="00000000" w:rsidRDefault="00D93457">
      <w:pPr>
        <w:pStyle w:val="BodyTextIndent"/>
        <w:tabs>
          <w:tab w:val="left" w:pos="540"/>
          <w:tab w:val="left" w:pos="4680"/>
        </w:tabs>
        <w:ind w:left="0" w:firstLine="0"/>
      </w:pPr>
      <w:r>
        <w:tab/>
        <w:t>Fish condition factors were evaluated concurrent with the ultrasound spawning status identification (Evans and Beaty 2000).  Data on fish length (fork length), condition (good, fair, poor, dead), coloration (b</w:t>
      </w:r>
      <w:r>
        <w:t>right, intermediate, dark), fin wear, fungus (ranked by degree of severity), hatchery or wild lineage (adipose fin clips), physical anomalies (e.g., head burn), and the abdominal appearance (fat, intermediate, imploded/thin) were recorded.  Examination and</w:t>
      </w:r>
      <w:r>
        <w:t xml:space="preserve"> tagging time averaged approximately five minutes per specimen.  </w:t>
      </w:r>
    </w:p>
    <w:p w:rsidR="00000000" w:rsidRDefault="00D93457">
      <w:pPr>
        <w:pStyle w:val="BodyTextIndent"/>
        <w:ind w:left="0"/>
        <w:jc w:val="both"/>
      </w:pPr>
    </w:p>
    <w:p w:rsidR="00000000" w:rsidRDefault="00D93457">
      <w:pPr>
        <w:pStyle w:val="BodyTextIndent"/>
        <w:ind w:left="0"/>
        <w:rPr>
          <w:color w:val="FF0000"/>
        </w:rPr>
      </w:pPr>
      <w:r>
        <w:t xml:space="preserve">At McNary Dam, SMF personnel document the origin (i.e., hatchery; naturally produced) based upon adipose fin clips, visually identify (i.e., </w:t>
      </w:r>
      <w:proofErr w:type="gramStart"/>
      <w:r>
        <w:t>kelt</w:t>
      </w:r>
      <w:proofErr w:type="gramEnd"/>
      <w:r>
        <w:t xml:space="preserve"> or prespawn), and rate the condition (good,</w:t>
      </w:r>
      <w:r>
        <w:t xml:space="preserve"> fair, poor, dead) of all steelhead passing through the bypass.  Sampling with ultrasound took place between 3 April and 1 June, occurring three days a week for approximately 7 to 10 h/day.  To account for the passage of kelts during periods not sampled wi</w:t>
      </w:r>
      <w:r>
        <w:t>th ultrasound, data from each passage week (Sunday–Saturday) were expanded using weighted means (Zar 1996); the proportion of kelts identified by ultrasound during each sampling week was multiplied by the total number of steelhead removed from the separato</w:t>
      </w:r>
      <w:r>
        <w:t xml:space="preserve">r.  Thus, our abundance estimates were generated under the assumption that kelts passing through the bypass are reflective of the overall </w:t>
      </w:r>
      <w:proofErr w:type="gramStart"/>
      <w:r>
        <w:t>kelt</w:t>
      </w:r>
      <w:proofErr w:type="gramEnd"/>
      <w:r>
        <w:t xml:space="preserve"> </w:t>
      </w:r>
      <w:r>
        <w:lastRenderedPageBreak/>
        <w:t>populace passing McN.  Due to logistical constraints, random and nighttime sampling did not occur.  Because, prio</w:t>
      </w:r>
      <w:r>
        <w:t>r work at Lower Granite (LGR) and Little Goose dams found no evidence to suggest the proportion of kelts to prespawners during the day differed from those at night (Evans and Beaty 2000), we assumed that proportion of kelts to prespawners during the day di</w:t>
      </w:r>
      <w:r>
        <w:t xml:space="preserve">d not differ from those at night.  </w:t>
      </w:r>
    </w:p>
    <w:p w:rsidR="00000000" w:rsidRDefault="00D93457">
      <w:pPr>
        <w:pStyle w:val="BodyTextIndent"/>
        <w:ind w:left="0"/>
      </w:pPr>
    </w:p>
    <w:p w:rsidR="00000000" w:rsidRDefault="00D93457">
      <w:pPr>
        <w:pStyle w:val="BodyTextIndent"/>
        <w:ind w:left="0"/>
      </w:pPr>
      <w:r>
        <w:t>At John Day Dam, adult downstream migrants and pre-spawn salmonids that pass through the juvenile bypass system typically flow through bypass back to the river (un-sampled).  Diverting adults (at the bypass switch-gate)</w:t>
      </w:r>
      <w:r>
        <w:t xml:space="preserve"> into the adult holding tank began March 30 and continued through June 20 (typically 4 day/week-24 hour/day).  During sampled periods (24 hour/day) all adult steelhead traveling through the bypass were routed to the adult holding tank for ultrasound examin</w:t>
      </w:r>
      <w:r>
        <w:t xml:space="preserve">ations.  </w:t>
      </w:r>
    </w:p>
    <w:p w:rsidR="00000000" w:rsidRDefault="00D93457">
      <w:pPr>
        <w:pStyle w:val="BodyTextIndent"/>
        <w:ind w:left="0" w:firstLine="0"/>
        <w:jc w:val="both"/>
        <w:rPr>
          <w:b/>
        </w:rPr>
      </w:pPr>
    </w:p>
    <w:p w:rsidR="00000000" w:rsidRDefault="00D93457">
      <w:pPr>
        <w:pStyle w:val="BodyTextIndent"/>
        <w:ind w:left="0" w:firstLine="0"/>
        <w:jc w:val="both"/>
        <w:rPr>
          <w:b/>
        </w:rPr>
      </w:pPr>
      <w:r>
        <w:rPr>
          <w:b/>
        </w:rPr>
        <w:t>Radio &amp; PIT Tags</w:t>
      </w:r>
    </w:p>
    <w:p w:rsidR="00000000" w:rsidRDefault="00D93457">
      <w:pPr>
        <w:pStyle w:val="BodyTextIndent"/>
        <w:tabs>
          <w:tab w:val="left" w:pos="0"/>
          <w:tab w:val="right" w:pos="8640"/>
        </w:tabs>
        <w:ind w:left="0"/>
      </w:pPr>
      <w:r>
        <w:t>Sixty-nine day radio-tags operating on a frequency of 150.600 MHZ were attached to steelhead kelts that were classified as being in good or fair condition.  Kelt reconditioning work on the Yakima River has demonstrated low survi</w:t>
      </w:r>
      <w:r>
        <w:t xml:space="preserve">val rates by kelts classified in poor condition (A. Evans et al. 2001).  Radio tags were 10.3 mm (diameter) x 29 mm, weighed 3.7 g in air, and transmitted once every five seconds.  Each radio-tag was wrapped with polyolefin securing a 0.05 cm. hollow tube </w:t>
      </w:r>
      <w:r>
        <w:t>underneath</w:t>
      </w:r>
      <w:proofErr w:type="gramStart"/>
      <w:r>
        <w:t xml:space="preserve">.   </w:t>
      </w:r>
      <w:proofErr w:type="gramEnd"/>
      <w:r>
        <w:t>A 16 cm piece of size 1 chromic-gut reabsorbing suture was inserted through the tubing of the transmitter; surgical needles were tied to each end of the suture.  The tagger pushed the needles through the cartilage at the base of the kelts’ do</w:t>
      </w:r>
      <w:r>
        <w:t>rsal fin; insertion points were separated by three dorsal spines.  Needles were then</w:t>
      </w:r>
      <w:r>
        <w:rPr>
          <w:color w:val="0000FF"/>
        </w:rPr>
        <w:t xml:space="preserve"> </w:t>
      </w:r>
      <w:r>
        <w:t xml:space="preserve">removed from the suture and a surgical knot snugly tied affixing the transmitter to the </w:t>
      </w:r>
      <w:proofErr w:type="gramStart"/>
      <w:r>
        <w:t>kelt</w:t>
      </w:r>
      <w:proofErr w:type="gramEnd"/>
      <w:r>
        <w:t>.  PIT tags (134.2 KHz) were inserted into the musculature ventral to the pelvi</w:t>
      </w:r>
      <w:r>
        <w:t xml:space="preserve">c girdle.  Sampled </w:t>
      </w:r>
      <w:proofErr w:type="gramStart"/>
      <w:r>
        <w:t>steelhead were</w:t>
      </w:r>
      <w:proofErr w:type="gramEnd"/>
      <w:r>
        <w:t xml:space="preserve"> allowed to exit recovery areas to the bypass of their own volition.</w:t>
      </w:r>
    </w:p>
    <w:p w:rsidR="00000000" w:rsidRDefault="00D93457">
      <w:pPr>
        <w:ind w:firstLine="720"/>
        <w:rPr>
          <w:color w:val="FF0000"/>
        </w:rPr>
      </w:pPr>
    </w:p>
    <w:p w:rsidR="00000000" w:rsidRDefault="00D93457">
      <w:pPr>
        <w:pStyle w:val="BodyTextIndent"/>
        <w:ind w:left="0" w:firstLine="0"/>
        <w:rPr>
          <w:b/>
        </w:rPr>
      </w:pPr>
      <w:r>
        <w:rPr>
          <w:b/>
        </w:rPr>
        <w:t xml:space="preserve">Fixed Receiving System Telemetry-Equipment </w:t>
      </w:r>
    </w:p>
    <w:p w:rsidR="00000000" w:rsidRDefault="00D93457">
      <w:pPr>
        <w:pStyle w:val="BodyTextIndent"/>
        <w:ind w:left="0"/>
      </w:pPr>
      <w:r>
        <w:t>Transmissions from radio-tagged kelts were monitored by</w:t>
      </w:r>
      <w:r>
        <w:rPr>
          <w:smallCaps/>
        </w:rPr>
        <w:t xml:space="preserve"> </w:t>
      </w:r>
      <w:r>
        <w:t>aerial and underwater antenna/receiver ‘fixed station</w:t>
      </w:r>
      <w:r>
        <w:t xml:space="preserve">’ arrays located in and around TDA, Bonneville (BON), mainstem tributary entrances, and through sets of survival gates culminating at the I-205 </w:t>
      </w:r>
      <w:proofErr w:type="gramStart"/>
      <w:r>
        <w:t>bridge</w:t>
      </w:r>
      <w:proofErr w:type="gramEnd"/>
      <w:r>
        <w:t>.  Fixed stations were installed and maintained by University of Idaho (UI; Appendix B) and by U.S. Geolog</w:t>
      </w:r>
      <w:r>
        <w:t>ical Survey (USGS) researchers (USGS fixed array stations described by S. Evans (et al. 2001), and Beeman (et al. 2001).  Underwater dipole and stripped co-axial antennas had a limited range (about 6 m) compared to aerial antennas (100 to 300 m depending o</w:t>
      </w:r>
      <w:r>
        <w:t xml:space="preserve">n transmitter depth, receiver gain, and number of elements).  When positioned directly below aerial antenna arrays, tagged kelts were detectable to 8 m in water depth (Kelly and Adams 1996).  </w:t>
      </w:r>
      <w:r>
        <w:rPr>
          <w:smallCaps/>
        </w:rPr>
        <w:t>U</w:t>
      </w:r>
      <w:r>
        <w:t>nderwater antennas were specifically used to detect tagged fish</w:t>
      </w:r>
      <w:r>
        <w:t xml:space="preserve"> in and around submerged traveling screens (STS), extended submersible bar screens (ESBS), ice and trash sluiceways (ITS), and JBS. </w:t>
      </w:r>
    </w:p>
    <w:p w:rsidR="00000000" w:rsidRDefault="00D93457">
      <w:pPr>
        <w:pStyle w:val="BodyTextIndent"/>
        <w:ind w:left="0" w:firstLine="0"/>
      </w:pPr>
    </w:p>
    <w:p w:rsidR="00000000" w:rsidRDefault="00D93457">
      <w:pPr>
        <w:pStyle w:val="BodyTextIndent"/>
        <w:ind w:left="0"/>
      </w:pPr>
      <w:r>
        <w:t>The underwater antennas were monitored with</w:t>
      </w:r>
      <w:r>
        <w:rPr>
          <w:smallCaps/>
        </w:rPr>
        <w:t xml:space="preserve"> </w:t>
      </w:r>
      <w:r>
        <w:t>Digital Spectrum Processors (DSP) or the Multi-Integrated-Telemetry-Array-Syst</w:t>
      </w:r>
      <w:r>
        <w:t>em.  These systems</w:t>
      </w:r>
      <w:r>
        <w:rPr>
          <w:smallCaps/>
        </w:rPr>
        <w:t xml:space="preserve"> </w:t>
      </w:r>
      <w:r>
        <w:t>automatically identified</w:t>
      </w:r>
      <w:r>
        <w:rPr>
          <w:smallCaps/>
        </w:rPr>
        <w:t xml:space="preserve"> </w:t>
      </w:r>
      <w:r>
        <w:t>the specific antenna and location where a radio-transmission was received.  Aerial fixed receiving arrays consisted of up to eight antennas connected to a Lotek</w:t>
      </w:r>
      <w:r>
        <w:rPr>
          <w:vertAlign w:val="superscript"/>
        </w:rPr>
        <w:t xml:space="preserve"> </w:t>
      </w:r>
      <w:r>
        <w:t xml:space="preserve">SRX 400 receiver.  </w:t>
      </w:r>
      <w:r>
        <w:lastRenderedPageBreak/>
        <w:t xml:space="preserve">In contrast to the DSP or MITAS </w:t>
      </w:r>
      <w:r>
        <w:t>arrays, SRX 400 receivers combined signals from all attached antennas and recorded transmissions as a ‘master’ antenna contact.  The receiver cycled through each antenna separately to determine the specific antenna where a radio-tag’s transmission was loca</w:t>
      </w:r>
      <w:r>
        <w:t xml:space="preserve">ted.  If several radio-tagged fish were present, it took approximately two minutes for the receivers to </w:t>
      </w:r>
      <w:proofErr w:type="gramStart"/>
      <w:r>
        <w:t>listen</w:t>
      </w:r>
      <w:proofErr w:type="gramEnd"/>
      <w:r>
        <w:t xml:space="preserve"> all antennas combined, listen to each antenna separately, and log transmissions for each frequency.  This procedure was then repeated through all</w:t>
      </w:r>
      <w:r>
        <w:t xml:space="preserve"> frequencies before completing a scan cycle (S. Evans et al. 2001).  For this reason, criteria were developed to determine what constituted a valid </w:t>
      </w:r>
      <w:proofErr w:type="gramStart"/>
      <w:r>
        <w:t>kelt</w:t>
      </w:r>
      <w:proofErr w:type="gramEnd"/>
      <w:r>
        <w:t xml:space="preserve"> contact at a fixed station.  In general, a telemetry contact was considered valid when two or more tran</w:t>
      </w:r>
      <w:r>
        <w:t>smissions from a unique radio-tag were recorded at a fixed station in less than three minutes.  The three-minute rule was adopted for two reasons.  First, receivers occasionally picked up weak transmissions from tagged kelts outside the immediate area of t</w:t>
      </w:r>
      <w:r>
        <w:t>he receiver’s antennas.  Second, when several radio-tagged kelts were transmitting near a receiver bank, receivers could potentially mix the radio transmissions of two or more tags and incorrectly record this signal as a different radio-tag.  If the three-</w:t>
      </w:r>
      <w:r>
        <w:t xml:space="preserve">minute rule failed to filter out the false presence of a radio-tagged kelt in an area due to weak or mixed radio signals, contacts were negated through proofing verification.  Telemetry records were only accepted if the record of a </w:t>
      </w:r>
      <w:proofErr w:type="gramStart"/>
      <w:r>
        <w:t>kelt’s</w:t>
      </w:r>
      <w:proofErr w:type="gramEnd"/>
      <w:r>
        <w:t xml:space="preserve"> plausible passage</w:t>
      </w:r>
      <w:r>
        <w:t xml:space="preserve"> history was supported by telemetry hits before and after each contact.  </w:t>
      </w:r>
    </w:p>
    <w:p w:rsidR="00000000" w:rsidRDefault="00D93457">
      <w:pPr>
        <w:pStyle w:val="BodyTextIndent"/>
        <w:ind w:left="0"/>
      </w:pPr>
    </w:p>
    <w:p w:rsidR="00000000" w:rsidRDefault="00D93457">
      <w:pPr>
        <w:pStyle w:val="BodyTextIndent"/>
        <w:ind w:left="0"/>
        <w:rPr>
          <w:color w:val="FF0000"/>
        </w:rPr>
      </w:pPr>
      <w:r>
        <w:t xml:space="preserve">The short duration of the </w:t>
      </w:r>
      <w:proofErr w:type="gramStart"/>
      <w:r>
        <w:t>kelt</w:t>
      </w:r>
      <w:proofErr w:type="gramEnd"/>
      <w:r>
        <w:t xml:space="preserve"> passage season prompted kelt releases prior to underwater monitoring at TDA.  Telemetry arrays were installed and maintained as part of other broader </w:t>
      </w:r>
      <w:r>
        <w:t xml:space="preserve">objectives, and were not available to monitor all components of the </w:t>
      </w:r>
      <w:proofErr w:type="gramStart"/>
      <w:r>
        <w:t>kelt</w:t>
      </w:r>
      <w:proofErr w:type="gramEnd"/>
      <w:r>
        <w:t xml:space="preserve"> run (e.g., early run).  Survival gates were operational at the time of initial releases, thereby, addressing a primary study objective (system conversion).  As previous work demonstra</w:t>
      </w:r>
      <w:r>
        <w:t xml:space="preserve">ted that the passage behavior of kelts was not influenced by collection point or release location (Wertheimer et al. 2001), we assumed no differences between kelts released at JDD and kelts released at McN.  </w:t>
      </w:r>
    </w:p>
    <w:p w:rsidR="00000000" w:rsidRDefault="00D93457">
      <w:pPr>
        <w:pStyle w:val="BodyTextIndent2"/>
        <w:tabs>
          <w:tab w:val="left" w:pos="-720"/>
        </w:tabs>
        <w:ind w:left="-720"/>
        <w:jc w:val="center"/>
        <w:rPr>
          <w:b/>
          <w:caps/>
          <w:u w:val="single"/>
        </w:rPr>
      </w:pPr>
    </w:p>
    <w:p w:rsidR="00000000" w:rsidRDefault="00D93457">
      <w:pPr>
        <w:pStyle w:val="BodyTextIndent"/>
        <w:ind w:left="0" w:firstLine="0"/>
        <w:rPr>
          <w:b/>
        </w:rPr>
      </w:pPr>
      <w:r>
        <w:rPr>
          <w:b/>
        </w:rPr>
        <w:t xml:space="preserve">Data Management and Analysis </w:t>
      </w:r>
    </w:p>
    <w:p w:rsidR="00000000" w:rsidRDefault="00D93457">
      <w:pPr>
        <w:pStyle w:val="BodyTextIndent"/>
        <w:ind w:left="0"/>
      </w:pPr>
      <w:r>
        <w:t>While evaluating</w:t>
      </w:r>
      <w:r>
        <w:t xml:space="preserve"> </w:t>
      </w:r>
      <w:proofErr w:type="gramStart"/>
      <w:r>
        <w:t>kelt</w:t>
      </w:r>
      <w:proofErr w:type="gramEnd"/>
      <w:r>
        <w:t xml:space="preserve"> system conversion, we are unable to provide estimates of kelt survival.  An assumption of most telemetry survival studies is that test fish are representative of the general (i.e., untagged) population (Burham et al. 1987).  Toward this end, conserva</w:t>
      </w:r>
      <w:r>
        <w:t>tive radio-tag to body weight standards (i.e., tags &lt; 2% of body weight) were maintained (Brown et al. 1999).  However, this and other assumptions fundamental to current mark recapture telemetry survival models were not formally verified (e.g., capture and</w:t>
      </w:r>
      <w:r>
        <w:t xml:space="preserve"> re-release do not affect survival rate).  Returns to the Columbia River from previously tagged kelts, suggest that </w:t>
      </w:r>
      <w:proofErr w:type="gramStart"/>
      <w:r>
        <w:t>kelt</w:t>
      </w:r>
      <w:proofErr w:type="gramEnd"/>
      <w:r>
        <w:t xml:space="preserve"> behavior and survival were not overtly affected by the presence of a radio-tag.  As kelts were individually processed, tagged, and rele</w:t>
      </w:r>
      <w:r>
        <w:t xml:space="preserve">ased, our hypothesis tests are based on treating the individual fish as the basic unit, rather than treating groups of kelts released on the same day as a ‘cluster’ (Table B-1).  </w:t>
      </w:r>
    </w:p>
    <w:p w:rsidR="00000000" w:rsidRDefault="00D93457">
      <w:pPr>
        <w:pStyle w:val="BodyTextIndent"/>
        <w:ind w:left="0"/>
      </w:pPr>
    </w:p>
    <w:p w:rsidR="00000000" w:rsidRDefault="00D93457">
      <w:pPr>
        <w:pStyle w:val="BodyTextIndent"/>
        <w:ind w:left="0"/>
      </w:pPr>
      <w:r>
        <w:t>Downloaded data from fixed receiver arrays maintained by the USGS were tran</w:t>
      </w:r>
      <w:r>
        <w:t xml:space="preserve">sferred directly to us.  After downloading, UI fixed telemetry array data were forwarded by UI personnel to the National Marine Fisheries Service North West Fisheries Science Center (NWFSC) for formatting and coding.  Contact locations with our specific </w:t>
      </w:r>
      <w:r>
        <w:lastRenderedPageBreak/>
        <w:t>fr</w:t>
      </w:r>
      <w:r>
        <w:t xml:space="preserve">equency and codes were then sent to us from the NWFSC.  Residence, passage, and travel times (hh:mm) were calculated to describe the time it took for kelts to travel past the FCRPS projects through the final set of survival gates.  As well, the cumulative </w:t>
      </w:r>
      <w:r>
        <w:t>number of directional changes (CNODC; determined by movements between telemetry arrays) was used as a measure of the amount of lateral movements exhibited by kelts in forebay areas.  Due to multiple forebay areas at BON, full and final forebay residence ti</w:t>
      </w:r>
      <w:r>
        <w:t xml:space="preserve">mes were calculated for each radio-tagged </w:t>
      </w:r>
      <w:proofErr w:type="gramStart"/>
      <w:r>
        <w:t>kelt</w:t>
      </w:r>
      <w:proofErr w:type="gramEnd"/>
      <w:r>
        <w:t xml:space="preserve"> contacted in any of the near-dam areas (ca. ~ 100 m).  Full forebay residence times are between the first and last contacts in forebay areas.  Final forebay residence times are the amount of time between the f</w:t>
      </w:r>
      <w:r>
        <w:t xml:space="preserve">irst and last contacts in the forebay from which a </w:t>
      </w:r>
      <w:proofErr w:type="gramStart"/>
      <w:r>
        <w:t>kelt</w:t>
      </w:r>
      <w:proofErr w:type="gramEnd"/>
      <w:r>
        <w:t xml:space="preserve"> passed BON.  Due to receiver limitations, forebay residence times were a conservative estimate of the actual time that tagged-kelts spent in the near-dam area.  For instance, kelts may have been in th</w:t>
      </w:r>
      <w:r>
        <w:t>e near-dam area prior to their first radio-contact and following their last contact.  Passage times are defined as the time it took from initial contact in forebay areas to the time at which kelts were contacted at tailrace exit stations.  Travel times wer</w:t>
      </w:r>
      <w:r>
        <w:t>e calculated by identifying the amount of time, kelts took to pass from first tailrace contact to first contact at the exit station.</w:t>
      </w:r>
      <w:r>
        <w:rPr>
          <w:color w:val="FF0000"/>
        </w:rPr>
        <w:t xml:space="preserve">  </w:t>
      </w:r>
      <w:r>
        <w:t>Due to potential violations in assumptions of data normality, nonparametric tests were used to compare residence and passa</w:t>
      </w:r>
      <w:r>
        <w:t xml:space="preserve">ge times (Zar 1996).  All analyses were conducted in Statistical Analysis Systems (SAS, version 8.0, SAS Institute Inc., </w:t>
      </w:r>
      <w:proofErr w:type="gramStart"/>
      <w:r>
        <w:t>Car</w:t>
      </w:r>
      <w:proofErr w:type="gramEnd"/>
      <w:r>
        <w:t xml:space="preserve"> N.C., USA).</w:t>
      </w:r>
    </w:p>
    <w:p w:rsidR="00000000" w:rsidRDefault="00D93457">
      <w:pPr>
        <w:pStyle w:val="BodyTextIndent"/>
        <w:ind w:left="0" w:firstLine="0"/>
      </w:pPr>
      <w:r>
        <w:t xml:space="preserve"> </w:t>
      </w:r>
      <w:r>
        <w:tab/>
      </w:r>
    </w:p>
    <w:p w:rsidR="00000000" w:rsidRDefault="00D93457">
      <w:pPr>
        <w:pStyle w:val="BodyTextIndent"/>
        <w:ind w:left="0"/>
      </w:pPr>
      <w:r>
        <w:t xml:space="preserve">To compare juvenile and </w:t>
      </w:r>
      <w:proofErr w:type="gramStart"/>
      <w:r>
        <w:t>kelt</w:t>
      </w:r>
      <w:proofErr w:type="gramEnd"/>
      <w:r>
        <w:t xml:space="preserve"> emigrational histories, metrics used to describe the efficacies of spill and mechanical</w:t>
      </w:r>
      <w:r>
        <w:t xml:space="preserve"> structures in passing juveniles away from turbines were generated.  These metrics include calculations of fish passage and guidance efficiencies, and system effectiveness.  Fish passage efficiencies are the percentage of total fish approaching a project t</w:t>
      </w:r>
      <w:r>
        <w:t xml:space="preserve">hat are passed by routes other than turbines.  Fish guidance efficiencies focus on the performance of mechanical structures (typically screens) in routing fish away from turbine intakes into juvenile bypass systems.  To allow direct comparison to guidance </w:t>
      </w:r>
      <w:r>
        <w:t>estimates, sluice passage efficiencies focus on fish that pass around a powerhouse via sluice.  The effectiveness of systems that rely on water (sluice, spill, surface bypass) to pass fish away from turbines are reported by the percentage of fish passed by</w:t>
      </w:r>
      <w:r>
        <w:t xml:space="preserve"> that route, divided by the proportion of total project discharge through that route.  Typically, a 1:1 relationship is assumed between the percent of total fish that pass through the spillway and the percentage of total-river flow passing through the spil</w:t>
      </w:r>
      <w:r>
        <w:t>lway (Whitney et al. 1997).  The employed metrics</w:t>
      </w:r>
      <w:r>
        <w:rPr>
          <w:rStyle w:val="FootnoteReference"/>
        </w:rPr>
        <w:footnoteReference w:id="6"/>
      </w:r>
      <w:r>
        <w:t xml:space="preserve"> are defined below:</w:t>
      </w:r>
    </w:p>
    <w:p w:rsidR="00000000" w:rsidRDefault="00D93457">
      <w:pPr>
        <w:pStyle w:val="Header"/>
        <w:tabs>
          <w:tab w:val="clear" w:pos="4320"/>
          <w:tab w:val="clear" w:pos="8640"/>
        </w:tabs>
        <w:autoSpaceDE w:val="0"/>
        <w:autoSpaceDN w:val="0"/>
        <w:adjustRightInd w:val="0"/>
      </w:pPr>
    </w:p>
    <w:p w:rsidR="00000000" w:rsidRDefault="00D93457">
      <w:pPr>
        <w:pStyle w:val="Header"/>
        <w:tabs>
          <w:tab w:val="clear" w:pos="4320"/>
          <w:tab w:val="clear" w:pos="8640"/>
        </w:tabs>
        <w:autoSpaceDE w:val="0"/>
        <w:autoSpaceDN w:val="0"/>
        <w:adjustRightInd w:val="0"/>
      </w:pPr>
      <w:r>
        <w:rPr>
          <w:sz w:val="32"/>
        </w:rPr>
        <w:sym w:font="Symbol" w:char="F0B7"/>
      </w:r>
      <w:r>
        <w:t xml:space="preserve"> Spillway efficiency (SE) =   (spill / [non-turbine + turbine])        </w:t>
      </w:r>
      <w:r>
        <w:tab/>
        <w:t xml:space="preserve">                               </w:t>
      </w:r>
    </w:p>
    <w:p w:rsidR="00000000" w:rsidRDefault="00D93457">
      <w:r>
        <w:rPr>
          <w:sz w:val="32"/>
        </w:rPr>
        <w:sym w:font="Symbol" w:char="F0B7"/>
      </w:r>
      <w:r>
        <w:t xml:space="preserve"> Spillway effectiveness (SF) </w:t>
      </w:r>
      <w:proofErr w:type="gramStart"/>
      <w:r>
        <w:t>=  (</w:t>
      </w:r>
      <w:proofErr w:type="gramEnd"/>
      <w:r>
        <w:t xml:space="preserve">SE / [spill discharge / project discharge])   </w:t>
      </w:r>
      <w:r>
        <w:t xml:space="preserve">    </w:t>
      </w:r>
      <w:r>
        <w:rPr>
          <w:u w:val="single"/>
        </w:rPr>
        <w:t xml:space="preserve">                          </w:t>
      </w:r>
    </w:p>
    <w:p w:rsidR="00000000" w:rsidRDefault="00D93457">
      <w:pPr>
        <w:rPr>
          <w:u w:val="single"/>
        </w:rPr>
      </w:pPr>
      <w:r>
        <w:rPr>
          <w:sz w:val="32"/>
        </w:rPr>
        <w:sym w:font="Symbol" w:char="F0B7"/>
      </w:r>
      <w:r>
        <w:t xml:space="preserve"> Kelt passage efficiency (KPE) =   (non-turbine / [non-turbine + turbine])</w:t>
      </w:r>
    </w:p>
    <w:p w:rsidR="00000000" w:rsidRDefault="00D93457">
      <w:r>
        <w:rPr>
          <w:sz w:val="32"/>
        </w:rPr>
        <w:sym w:font="Symbol" w:char="F0B7"/>
      </w:r>
      <w:r>
        <w:t xml:space="preserve"> Kelt sluice passage efficiency (KSLPE) =   (sluice / [sluice</w:t>
      </w:r>
      <w:r>
        <w:rPr>
          <w:sz w:val="32"/>
        </w:rPr>
        <w:t xml:space="preserve"> </w:t>
      </w:r>
      <w:r>
        <w:t>+ turbine])</w:t>
      </w:r>
    </w:p>
    <w:p w:rsidR="00000000" w:rsidRDefault="00D93457">
      <w:pPr>
        <w:rPr>
          <w:u w:val="single"/>
        </w:rPr>
      </w:pPr>
      <w:r>
        <w:rPr>
          <w:sz w:val="32"/>
        </w:rPr>
        <w:sym w:font="Symbol" w:char="F0B7"/>
      </w:r>
      <w:r>
        <w:t xml:space="preserve"> Kelt guidance efficiency (KGE) </w:t>
      </w:r>
      <w:proofErr w:type="gramStart"/>
      <w:r>
        <w:t>=  (</w:t>
      </w:r>
      <w:proofErr w:type="gramEnd"/>
      <w:r>
        <w:t>guided / [guided + turbine])</w:t>
      </w:r>
    </w:p>
    <w:p w:rsidR="00000000" w:rsidRDefault="00D93457">
      <w:pPr>
        <w:rPr>
          <w:sz w:val="18"/>
        </w:rPr>
      </w:pPr>
    </w:p>
    <w:p w:rsidR="00000000" w:rsidRDefault="00D93457">
      <w:pPr>
        <w:pStyle w:val="Date"/>
        <w:jc w:val="center"/>
        <w:rPr>
          <w:b/>
          <w:caps/>
          <w:sz w:val="28"/>
          <w:u w:val="single"/>
        </w:rPr>
      </w:pPr>
    </w:p>
    <w:p w:rsidR="00000000" w:rsidRDefault="00D93457">
      <w:pPr>
        <w:pStyle w:val="Date"/>
        <w:jc w:val="center"/>
        <w:rPr>
          <w:b/>
          <w:caps/>
          <w:sz w:val="28"/>
          <w:u w:val="single"/>
        </w:rPr>
      </w:pPr>
      <w:r>
        <w:rPr>
          <w:b/>
          <w:caps/>
          <w:sz w:val="28"/>
          <w:u w:val="single"/>
        </w:rPr>
        <w:lastRenderedPageBreak/>
        <w:t>Result</w:t>
      </w:r>
      <w:r>
        <w:rPr>
          <w:b/>
          <w:caps/>
          <w:sz w:val="28"/>
          <w:u w:val="single"/>
        </w:rPr>
        <w:t>s</w:t>
      </w:r>
    </w:p>
    <w:p w:rsidR="00000000" w:rsidRDefault="00D93457"/>
    <w:p w:rsidR="00000000" w:rsidRDefault="00D93457">
      <w:pPr>
        <w:pStyle w:val="BodyTextIndent"/>
        <w:ind w:left="0" w:firstLine="0"/>
        <w:jc w:val="both"/>
        <w:rPr>
          <w:b/>
        </w:rPr>
      </w:pPr>
      <w:r>
        <w:rPr>
          <w:b/>
        </w:rPr>
        <w:t xml:space="preserve">Project Operations </w:t>
      </w:r>
    </w:p>
    <w:p w:rsidR="00000000" w:rsidRDefault="00D93457">
      <w:pPr>
        <w:pStyle w:val="BodyTextIndent"/>
        <w:ind w:left="0"/>
      </w:pPr>
      <w:r>
        <w:t>The volume of water flowing through the Columbia River in April, May, and June of 2001 averaged 122.4, 125.4, 125.5, and 134.2 kcfs at McNary, John Day, The Dalles, and Bonneville dams, respectively.  Spill occurred every other day a</w:t>
      </w:r>
      <w:r>
        <w:t>t McNary Dam from 26 May through 15 June, at an average of 15 kcfs per day</w:t>
      </w:r>
      <w:proofErr w:type="gramStart"/>
      <w:r>
        <w:t xml:space="preserve">. </w:t>
      </w:r>
      <w:proofErr w:type="gramEnd"/>
      <w:r>
        <w:t xml:space="preserve">Spill occurred every day at John Day Dam from 26 May through 15 June, at an average of 18.2 kcfs per day.  </w:t>
      </w:r>
    </w:p>
    <w:p w:rsidR="00000000" w:rsidRDefault="00D93457">
      <w:pPr>
        <w:pStyle w:val="BodyTextIndent"/>
        <w:ind w:left="0" w:firstLine="0"/>
        <w:jc w:val="both"/>
      </w:pPr>
    </w:p>
    <w:p w:rsidR="00000000" w:rsidRDefault="00D93457">
      <w:pPr>
        <w:pStyle w:val="BodyTextIndent"/>
        <w:ind w:left="0"/>
      </w:pPr>
      <w:r>
        <w:t>At The Dalles Dam, a ‘juvenile’ spill pattern occurred every day (24 ho</w:t>
      </w:r>
      <w:r>
        <w:t>ur/day) from 16 May to 15 June, at an average of 40.7 kcfs per day.  The juvenile spill pattern emphasizes moving water through the northerly portion of the spillway in an attempt to pass juveniles away from shallow areas, rocks, and islands present in the</w:t>
      </w:r>
      <w:r>
        <w:t xml:space="preserve"> south half of the tailrace.  Such structures within tailrace areas provide refuge for opportunistic piscine predators, to prey upon juvenile salmonids disoriented from dam passage (Shively et al. 1996).  Spill represented approximately 30% of total discha</w:t>
      </w:r>
      <w:r>
        <w:t>rge through The Dalles Dam.</w:t>
      </w:r>
    </w:p>
    <w:p w:rsidR="00000000" w:rsidRDefault="00D93457">
      <w:pPr>
        <w:pStyle w:val="BodyTextIndent"/>
        <w:ind w:left="0"/>
      </w:pPr>
    </w:p>
    <w:p w:rsidR="00000000" w:rsidRDefault="00D93457">
      <w:pPr>
        <w:pStyle w:val="BodyTextIndent"/>
        <w:ind w:left="0"/>
      </w:pPr>
      <w:r>
        <w:t>At Bonneville Dam, ‘adult attraction’ spill occurred during the study prior to 16 May.  During this period, 1.2 kcfs of water passed through each of spillbays 1 and 18, representing, roughly 2% of total project discharge.  As w</w:t>
      </w:r>
      <w:r>
        <w:t>ell, during three 5 h blocks on May 24-25, this spill pattern and 2% discharge were observed.  From 16 May through 15 June</w:t>
      </w:r>
      <w:r>
        <w:rPr>
          <w:rStyle w:val="FootnoteReference"/>
        </w:rPr>
        <w:footnoteReference w:id="7"/>
      </w:r>
      <w:r>
        <w:t xml:space="preserve"> approximately 50 kcfs per day were passed through 10 spillbays, typically representing about 37% of project discharge.  Overall, at </w:t>
      </w:r>
      <w:r>
        <w:t>Bonneville Dam, allocation of mean daily river discharges was generally about 72% through ‘the priority’ powerhouse (PH II), 22% through the spillway, and the remaining 6% through PH I.  Mean discharges through the dams, before, during, and after periods o</w:t>
      </w:r>
      <w:r>
        <w:t>f spill can be seen below (Table 1).</w:t>
      </w:r>
    </w:p>
    <w:p w:rsidR="00000000" w:rsidRDefault="00D93457">
      <w:pPr>
        <w:pStyle w:val="BodyTextIndent"/>
        <w:ind w:left="0" w:firstLine="0"/>
        <w:jc w:val="both"/>
        <w:rPr>
          <w:rFonts w:ascii="Arial" w:hAnsi="Arial" w:cs="Arial"/>
        </w:rPr>
      </w:pPr>
    </w:p>
    <w:p w:rsidR="00000000" w:rsidRDefault="00D93457">
      <w:pPr>
        <w:pStyle w:val="BodyTextIndent"/>
        <w:ind w:left="0" w:firstLine="0"/>
        <w:jc w:val="both"/>
        <w:rPr>
          <w:rFonts w:ascii="Arial" w:hAnsi="Arial" w:cs="Arial"/>
          <w:sz w:val="20"/>
        </w:rPr>
      </w:pPr>
      <w:r>
        <w:rPr>
          <w:rFonts w:ascii="Arial" w:hAnsi="Arial" w:cs="Arial"/>
          <w:sz w:val="20"/>
        </w:rPr>
        <w:t>Table 1 Average flows through the Columbia River from 1 April to 30 June at John Day, The Dalles, and Bonneville hydroelectric projects in 2001.</w:t>
      </w:r>
    </w:p>
    <w:tbl>
      <w:tblPr>
        <w:tblW w:w="0" w:type="auto"/>
        <w:tblBorders>
          <w:top w:val="single" w:sz="4" w:space="0" w:color="auto"/>
          <w:bottom w:val="single" w:sz="4" w:space="0" w:color="auto"/>
        </w:tblBorders>
        <w:tblLook w:val="0000"/>
      </w:tblPr>
      <w:tblGrid>
        <w:gridCol w:w="2214"/>
        <w:gridCol w:w="2214"/>
        <w:gridCol w:w="2214"/>
        <w:gridCol w:w="2106"/>
      </w:tblGrid>
      <w:tr w:rsidR="00000000">
        <w:tblPrEx>
          <w:tblCellMar>
            <w:top w:w="0" w:type="dxa"/>
            <w:bottom w:w="0" w:type="dxa"/>
          </w:tblCellMar>
        </w:tblPrEx>
        <w:trPr>
          <w:cantSplit/>
          <w:trHeight w:val="296"/>
        </w:trPr>
        <w:tc>
          <w:tcPr>
            <w:tcW w:w="2214" w:type="dxa"/>
            <w:tcBorders>
              <w:bottom w:val="double" w:sz="4" w:space="0" w:color="auto"/>
            </w:tcBorders>
            <w:vAlign w:val="bottom"/>
          </w:tcPr>
          <w:p w:rsidR="00000000" w:rsidRDefault="00D93457">
            <w:pPr>
              <w:pStyle w:val="Heading1"/>
              <w:rPr>
                <w:rFonts w:ascii="Arial" w:hAnsi="Arial" w:cs="Arial"/>
                <w:sz w:val="20"/>
              </w:rPr>
            </w:pPr>
            <w:r>
              <w:rPr>
                <w:rFonts w:ascii="Arial" w:hAnsi="Arial" w:cs="Arial"/>
                <w:sz w:val="20"/>
              </w:rPr>
              <w:t>Project</w:t>
            </w:r>
          </w:p>
        </w:tc>
        <w:tc>
          <w:tcPr>
            <w:tcW w:w="2214" w:type="dxa"/>
            <w:tcBorders>
              <w:bottom w:val="double" w:sz="4" w:space="0" w:color="auto"/>
            </w:tcBorders>
            <w:vAlign w:val="bottom"/>
          </w:tcPr>
          <w:p w:rsidR="00000000" w:rsidRDefault="00D93457">
            <w:pPr>
              <w:jc w:val="center"/>
              <w:rPr>
                <w:rFonts w:ascii="Arial" w:hAnsi="Arial" w:cs="Arial"/>
                <w:b/>
                <w:sz w:val="20"/>
              </w:rPr>
            </w:pPr>
            <w:r>
              <w:rPr>
                <w:rFonts w:ascii="Arial" w:hAnsi="Arial" w:cs="Arial"/>
                <w:b/>
                <w:sz w:val="20"/>
              </w:rPr>
              <w:t>Before Spill</w:t>
            </w:r>
          </w:p>
        </w:tc>
        <w:tc>
          <w:tcPr>
            <w:tcW w:w="2214" w:type="dxa"/>
            <w:tcBorders>
              <w:bottom w:val="double" w:sz="4" w:space="0" w:color="auto"/>
            </w:tcBorders>
            <w:vAlign w:val="bottom"/>
          </w:tcPr>
          <w:p w:rsidR="00000000" w:rsidRDefault="00D93457">
            <w:pPr>
              <w:jc w:val="center"/>
              <w:rPr>
                <w:rFonts w:ascii="Arial" w:hAnsi="Arial" w:cs="Arial"/>
                <w:b/>
                <w:sz w:val="20"/>
              </w:rPr>
            </w:pPr>
            <w:r>
              <w:rPr>
                <w:rFonts w:ascii="Arial" w:hAnsi="Arial" w:cs="Arial"/>
                <w:b/>
                <w:sz w:val="20"/>
              </w:rPr>
              <w:t>During Spill</w:t>
            </w:r>
          </w:p>
        </w:tc>
        <w:tc>
          <w:tcPr>
            <w:tcW w:w="2106" w:type="dxa"/>
            <w:tcBorders>
              <w:bottom w:val="double" w:sz="4" w:space="0" w:color="auto"/>
            </w:tcBorders>
            <w:vAlign w:val="bottom"/>
          </w:tcPr>
          <w:p w:rsidR="00000000" w:rsidRDefault="00D93457">
            <w:pPr>
              <w:jc w:val="center"/>
              <w:rPr>
                <w:rFonts w:ascii="Arial" w:hAnsi="Arial" w:cs="Arial"/>
                <w:b/>
                <w:sz w:val="20"/>
              </w:rPr>
            </w:pPr>
            <w:r>
              <w:rPr>
                <w:rFonts w:ascii="Arial" w:hAnsi="Arial" w:cs="Arial"/>
                <w:b/>
                <w:sz w:val="20"/>
              </w:rPr>
              <w:t>After Spill</w:t>
            </w:r>
          </w:p>
        </w:tc>
      </w:tr>
      <w:tr w:rsidR="00000000">
        <w:tblPrEx>
          <w:tblCellMar>
            <w:top w:w="0" w:type="dxa"/>
            <w:bottom w:w="0" w:type="dxa"/>
          </w:tblCellMar>
        </w:tblPrEx>
        <w:trPr>
          <w:cantSplit/>
          <w:trHeight w:val="784"/>
        </w:trPr>
        <w:tc>
          <w:tcPr>
            <w:tcW w:w="2214" w:type="dxa"/>
            <w:tcBorders>
              <w:top w:val="double" w:sz="4" w:space="0" w:color="auto"/>
            </w:tcBorders>
            <w:vAlign w:val="bottom"/>
          </w:tcPr>
          <w:p w:rsidR="00000000" w:rsidRDefault="00D93457">
            <w:pPr>
              <w:pStyle w:val="CommentText"/>
              <w:rPr>
                <w:rFonts w:ascii="Arial" w:hAnsi="Arial" w:cs="Arial"/>
                <w:szCs w:val="24"/>
              </w:rPr>
            </w:pPr>
            <w:r>
              <w:rPr>
                <w:rFonts w:ascii="Arial" w:hAnsi="Arial" w:cs="Arial"/>
                <w:szCs w:val="24"/>
              </w:rPr>
              <w:t>John Day</w:t>
            </w:r>
          </w:p>
          <w:p w:rsidR="00000000" w:rsidRDefault="00D93457">
            <w:pPr>
              <w:rPr>
                <w:rFonts w:ascii="Arial" w:hAnsi="Arial" w:cs="Arial"/>
              </w:rPr>
            </w:pPr>
            <w:r>
              <w:rPr>
                <w:rFonts w:ascii="Arial" w:hAnsi="Arial" w:cs="Arial"/>
                <w:sz w:val="20"/>
              </w:rPr>
              <w:t>The Dalles</w:t>
            </w:r>
          </w:p>
          <w:p w:rsidR="00000000" w:rsidRDefault="00D93457">
            <w:pPr>
              <w:rPr>
                <w:rFonts w:ascii="Arial" w:hAnsi="Arial" w:cs="Arial"/>
              </w:rPr>
            </w:pPr>
            <w:r>
              <w:rPr>
                <w:rFonts w:ascii="Arial" w:hAnsi="Arial" w:cs="Arial"/>
                <w:sz w:val="20"/>
              </w:rPr>
              <w:t>Bonnev</w:t>
            </w:r>
            <w:r>
              <w:rPr>
                <w:rFonts w:ascii="Arial" w:hAnsi="Arial" w:cs="Arial"/>
                <w:sz w:val="20"/>
              </w:rPr>
              <w:t>ille</w:t>
            </w:r>
          </w:p>
        </w:tc>
        <w:tc>
          <w:tcPr>
            <w:tcW w:w="2214" w:type="dxa"/>
            <w:tcBorders>
              <w:top w:val="double" w:sz="4" w:space="0" w:color="auto"/>
            </w:tcBorders>
            <w:vAlign w:val="bottom"/>
          </w:tcPr>
          <w:p w:rsidR="00000000" w:rsidRDefault="00D93457">
            <w:pPr>
              <w:jc w:val="center"/>
              <w:rPr>
                <w:rFonts w:ascii="Arial" w:hAnsi="Arial" w:cs="Arial"/>
                <w:sz w:val="20"/>
              </w:rPr>
            </w:pPr>
            <w:r>
              <w:rPr>
                <w:rFonts w:ascii="Arial" w:hAnsi="Arial" w:cs="Arial"/>
                <w:sz w:val="20"/>
              </w:rPr>
              <w:t>116.5 kcfs</w:t>
            </w:r>
          </w:p>
          <w:p w:rsidR="00000000" w:rsidRDefault="00D93457">
            <w:pPr>
              <w:jc w:val="center"/>
              <w:rPr>
                <w:rFonts w:ascii="Arial" w:hAnsi="Arial" w:cs="Arial"/>
                <w:sz w:val="20"/>
              </w:rPr>
            </w:pPr>
            <w:r>
              <w:rPr>
                <w:rFonts w:ascii="Arial" w:hAnsi="Arial" w:cs="Arial"/>
                <w:sz w:val="20"/>
              </w:rPr>
              <w:t>117.4 kcfs</w:t>
            </w:r>
          </w:p>
          <w:p w:rsidR="00000000" w:rsidRDefault="00D93457">
            <w:pPr>
              <w:jc w:val="center"/>
              <w:rPr>
                <w:rFonts w:ascii="Arial" w:hAnsi="Arial" w:cs="Arial"/>
                <w:sz w:val="20"/>
              </w:rPr>
            </w:pPr>
            <w:r>
              <w:rPr>
                <w:rFonts w:ascii="Arial" w:hAnsi="Arial" w:cs="Arial"/>
                <w:sz w:val="20"/>
              </w:rPr>
              <w:t>125.5 kcfs</w:t>
            </w:r>
          </w:p>
        </w:tc>
        <w:tc>
          <w:tcPr>
            <w:tcW w:w="2214" w:type="dxa"/>
            <w:tcBorders>
              <w:top w:val="double" w:sz="4" w:space="0" w:color="auto"/>
            </w:tcBorders>
            <w:vAlign w:val="bottom"/>
          </w:tcPr>
          <w:p w:rsidR="00000000" w:rsidRDefault="00D93457">
            <w:pPr>
              <w:jc w:val="center"/>
              <w:rPr>
                <w:rFonts w:ascii="Arial" w:hAnsi="Arial" w:cs="Arial"/>
                <w:sz w:val="20"/>
              </w:rPr>
            </w:pPr>
            <w:r>
              <w:rPr>
                <w:rFonts w:ascii="Arial" w:hAnsi="Arial" w:cs="Arial"/>
                <w:sz w:val="20"/>
              </w:rPr>
              <w:t>140.0 kcfs</w:t>
            </w:r>
          </w:p>
          <w:p w:rsidR="00000000" w:rsidRDefault="00D93457">
            <w:pPr>
              <w:jc w:val="center"/>
              <w:rPr>
                <w:rFonts w:ascii="Arial" w:hAnsi="Arial" w:cs="Arial"/>
                <w:sz w:val="20"/>
              </w:rPr>
            </w:pPr>
            <w:r>
              <w:rPr>
                <w:rFonts w:ascii="Arial" w:hAnsi="Arial" w:cs="Arial"/>
                <w:sz w:val="20"/>
              </w:rPr>
              <w:t>138.6 kcfs</w:t>
            </w:r>
          </w:p>
          <w:p w:rsidR="00000000" w:rsidRDefault="00D93457">
            <w:pPr>
              <w:jc w:val="center"/>
              <w:rPr>
                <w:rFonts w:ascii="Arial" w:hAnsi="Arial" w:cs="Arial"/>
                <w:sz w:val="20"/>
              </w:rPr>
            </w:pPr>
            <w:r>
              <w:rPr>
                <w:rFonts w:ascii="Arial" w:hAnsi="Arial" w:cs="Arial"/>
                <w:sz w:val="20"/>
              </w:rPr>
              <w:t>150.1 kcfs</w:t>
            </w:r>
          </w:p>
        </w:tc>
        <w:tc>
          <w:tcPr>
            <w:tcW w:w="2106" w:type="dxa"/>
            <w:tcBorders>
              <w:top w:val="double" w:sz="4" w:space="0" w:color="auto"/>
            </w:tcBorders>
            <w:vAlign w:val="bottom"/>
          </w:tcPr>
          <w:p w:rsidR="00000000" w:rsidRDefault="00D93457">
            <w:pPr>
              <w:jc w:val="center"/>
              <w:rPr>
                <w:rFonts w:ascii="Arial" w:hAnsi="Arial" w:cs="Arial"/>
                <w:sz w:val="20"/>
              </w:rPr>
            </w:pPr>
            <w:r>
              <w:rPr>
                <w:rFonts w:ascii="Arial" w:hAnsi="Arial" w:cs="Arial"/>
                <w:sz w:val="20"/>
              </w:rPr>
              <w:t>121.6 kcfs</w:t>
            </w:r>
          </w:p>
          <w:p w:rsidR="00000000" w:rsidRDefault="00D93457">
            <w:pPr>
              <w:jc w:val="center"/>
              <w:rPr>
                <w:rFonts w:ascii="Arial" w:hAnsi="Arial" w:cs="Arial"/>
                <w:sz w:val="20"/>
              </w:rPr>
            </w:pPr>
            <w:r>
              <w:rPr>
                <w:rFonts w:ascii="Arial" w:hAnsi="Arial" w:cs="Arial"/>
                <w:sz w:val="20"/>
              </w:rPr>
              <w:t>122.8 kcfs</w:t>
            </w:r>
          </w:p>
          <w:p w:rsidR="00000000" w:rsidRDefault="00D93457">
            <w:pPr>
              <w:jc w:val="center"/>
              <w:rPr>
                <w:rFonts w:ascii="Arial" w:hAnsi="Arial" w:cs="Arial"/>
                <w:sz w:val="20"/>
              </w:rPr>
            </w:pPr>
            <w:r>
              <w:rPr>
                <w:rFonts w:ascii="Arial" w:hAnsi="Arial" w:cs="Arial"/>
                <w:sz w:val="20"/>
              </w:rPr>
              <w:t>127.3 kcfs</w:t>
            </w:r>
          </w:p>
        </w:tc>
      </w:tr>
    </w:tbl>
    <w:p w:rsidR="00000000" w:rsidRDefault="00D93457">
      <w:pPr>
        <w:pStyle w:val="BodyTextIndent"/>
        <w:ind w:left="0" w:firstLine="0"/>
        <w:rPr>
          <w:b/>
        </w:rPr>
      </w:pPr>
    </w:p>
    <w:p w:rsidR="00000000" w:rsidRDefault="00D93457">
      <w:pPr>
        <w:pStyle w:val="BodyTextIndent"/>
        <w:ind w:left="0" w:firstLine="0"/>
        <w:rPr>
          <w:b/>
        </w:rPr>
      </w:pPr>
      <w:r>
        <w:rPr>
          <w:b/>
        </w:rPr>
        <w:t xml:space="preserve">McNary: Abundance and Condition </w:t>
      </w:r>
    </w:p>
    <w:p w:rsidR="00000000" w:rsidRDefault="00D93457">
      <w:pPr>
        <w:tabs>
          <w:tab w:val="left" w:pos="0"/>
        </w:tabs>
        <w:rPr>
          <w:bCs/>
        </w:rPr>
      </w:pPr>
      <w:r>
        <w:tab/>
        <w:t>At McN, between 3 April and 2 June (period evaluated with ultrasound) SMF personnel bypassed (sorted back to the riv</w:t>
      </w:r>
      <w:r>
        <w:t>er) 2,390 steelhead of which 25% (606/2,390) were visually identified as pre-spawn and 75% (1,784/2,390) as kelts.  Overall, ultrasound examinations were preformed on 16% (383/2,390) of bypassed adult steelhead (Appendix A-1) during the study.  The ratio o</w:t>
      </w:r>
      <w:r>
        <w:t xml:space="preserve">f kelts to pre-spawners changed throughout the study period with kelts encompassing almost 100% of the sample as the season progressed into June.  This pattern of increased </w:t>
      </w:r>
      <w:proofErr w:type="gramStart"/>
      <w:r>
        <w:t>kelt</w:t>
      </w:r>
      <w:proofErr w:type="gramEnd"/>
      <w:r>
        <w:t xml:space="preserve"> abundance as the season progresses is substantiated by prior kelt work in the </w:t>
      </w:r>
      <w:r>
        <w:t xml:space="preserve">Columbia Basin (Evans and Beaty 2000).  Three hundred twenty-eight of the specimens were classified with ultrasound as kelts and the remaining 55 individuals as pre-spawn steelhead.  These </w:t>
      </w:r>
      <w:r>
        <w:rPr>
          <w:bCs/>
        </w:rPr>
        <w:t xml:space="preserve">examinations indicate (weighted </w:t>
      </w:r>
      <w:r>
        <w:rPr>
          <w:bCs/>
        </w:rPr>
        <w:lastRenderedPageBreak/>
        <w:t>means; by week) that 84% (1,988) of</w:t>
      </w:r>
      <w:r>
        <w:rPr>
          <w:bCs/>
        </w:rPr>
        <w:t xml:space="preserve"> the steelhead passing the separator during this period (3</w:t>
      </w:r>
      <w:r>
        <w:t xml:space="preserve"> April through 2 June) </w:t>
      </w:r>
      <w:r>
        <w:rPr>
          <w:bCs/>
        </w:rPr>
        <w:t>were kelts.  Roughly, 67% (220/327) of examined kelts were categorized as being in good or fair condition.  Most sampled kelts (95%; 309/327) were rated as having bright or in</w:t>
      </w:r>
      <w:r>
        <w:rPr>
          <w:bCs/>
        </w:rPr>
        <w:t>termediate coloration (Table 3).  The majority (92%; 173/189) of sampled kelts (where sex was discernible) were female.  Condition factors of r</w:t>
      </w:r>
      <w:r>
        <w:t>ecaptured kelts (from LGR) were recorded and these kelts released without ultrasound examination.</w:t>
      </w:r>
    </w:p>
    <w:p w:rsidR="00000000" w:rsidRDefault="00D93457">
      <w:pPr>
        <w:tabs>
          <w:tab w:val="left" w:pos="0"/>
        </w:tabs>
        <w:rPr>
          <w:bCs/>
        </w:rPr>
      </w:pPr>
    </w:p>
    <w:p w:rsidR="00000000" w:rsidRDefault="00D93457">
      <w:pPr>
        <w:tabs>
          <w:tab w:val="left" w:pos="0"/>
        </w:tabs>
      </w:pPr>
      <w:r>
        <w:tab/>
        <w:t>Based on adip</w:t>
      </w:r>
      <w:r>
        <w:t xml:space="preserve">ose fin clips, SMF personnel documented that 57% (1,183/2,065) of steelhead they identified as kelts were naturally produced.  Similarly, 63% (205/328) of the steelhead determined to be kelts via ultrasound were naturally produced.  The prevalence of head </w:t>
      </w:r>
      <w:r>
        <w:t>burn and other head conditions from sampled steelhead can be observed below (Table 2).  Head burn affliction is defined by Elston (1996) as an “exfoliation of the skin and underlying connective tissue of the jaw and cranial region of salmonids”.</w:t>
      </w:r>
      <w:r>
        <w:rPr>
          <w:b/>
          <w:bCs/>
        </w:rPr>
        <w:t xml:space="preserve">  </w:t>
      </w:r>
      <w:r>
        <w:t xml:space="preserve">Overall, </w:t>
      </w:r>
      <w:r>
        <w:t>condition characteristics from individual specimens sampled with ultrasound can be observed in Table 3.</w:t>
      </w:r>
    </w:p>
    <w:tbl>
      <w:tblPr>
        <w:tblW w:w="8658" w:type="dxa"/>
        <w:tblInd w:w="17" w:type="dxa"/>
        <w:tblLayout w:type="fixed"/>
        <w:tblCellMar>
          <w:left w:w="0" w:type="dxa"/>
          <w:right w:w="0" w:type="dxa"/>
        </w:tblCellMar>
        <w:tblLook w:val="0000"/>
      </w:tblPr>
      <w:tblGrid>
        <w:gridCol w:w="2140"/>
        <w:gridCol w:w="6"/>
        <w:gridCol w:w="2154"/>
        <w:gridCol w:w="17"/>
        <w:gridCol w:w="2181"/>
        <w:gridCol w:w="1906"/>
        <w:gridCol w:w="236"/>
        <w:gridCol w:w="18"/>
      </w:tblGrid>
      <w:tr w:rsidR="00000000">
        <w:trPr>
          <w:gridAfter w:val="2"/>
          <w:wAfter w:w="254" w:type="dxa"/>
          <w:trHeight w:val="255"/>
        </w:trPr>
        <w:tc>
          <w:tcPr>
            <w:tcW w:w="8404" w:type="dxa"/>
            <w:gridSpan w:val="6"/>
            <w:tcBorders>
              <w:top w:val="nil"/>
              <w:left w:val="nil"/>
              <w:bottom w:val="nil"/>
              <w:right w:val="nil"/>
            </w:tcBorders>
            <w:noWrap/>
            <w:tcMar>
              <w:top w:w="17" w:type="dxa"/>
              <w:left w:w="17" w:type="dxa"/>
              <w:bottom w:w="0" w:type="dxa"/>
              <w:right w:w="17" w:type="dxa"/>
            </w:tcMar>
            <w:vAlign w:val="bottom"/>
          </w:tcPr>
          <w:p w:rsidR="00000000" w:rsidRDefault="00D93457">
            <w:pPr>
              <w:pStyle w:val="CommentText"/>
              <w:rPr>
                <w:sz w:val="24"/>
              </w:rPr>
            </w:pPr>
            <w:r>
              <w:t xml:space="preserve"> </w:t>
            </w:r>
          </w:p>
          <w:p w:rsidR="00000000" w:rsidRDefault="00D93457">
            <w:pPr>
              <w:pStyle w:val="CommentText"/>
              <w:rPr>
                <w:rFonts w:ascii="Arial" w:hAnsi="Arial"/>
              </w:rPr>
            </w:pPr>
            <w:r>
              <w:rPr>
                <w:rFonts w:ascii="Arial" w:hAnsi="Arial"/>
              </w:rPr>
              <w:t>Table 2.  Percentage of the steelhead sample (n = 383) at McNary Dam with head conditions.</w:t>
            </w:r>
          </w:p>
        </w:tc>
      </w:tr>
      <w:tr w:rsidR="00000000">
        <w:trPr>
          <w:trHeight w:val="270"/>
        </w:trPr>
        <w:tc>
          <w:tcPr>
            <w:tcW w:w="2140" w:type="dxa"/>
            <w:tcBorders>
              <w:top w:val="single" w:sz="4" w:space="0" w:color="auto"/>
              <w:bottom w:val="double" w:sz="4" w:space="0" w:color="auto"/>
            </w:tcBorders>
            <w:noWrap/>
            <w:tcMar>
              <w:top w:w="17" w:type="dxa"/>
              <w:left w:w="17" w:type="dxa"/>
              <w:bottom w:w="0" w:type="dxa"/>
              <w:right w:w="17" w:type="dxa"/>
            </w:tcMar>
            <w:vAlign w:val="bottom"/>
          </w:tcPr>
          <w:p w:rsidR="00000000" w:rsidRDefault="00D93457">
            <w:pPr>
              <w:rPr>
                <w:rFonts w:ascii="Arial" w:hAnsi="Arial" w:cs="Arial"/>
                <w:b/>
                <w:bCs/>
                <w:sz w:val="20"/>
                <w:szCs w:val="22"/>
              </w:rPr>
            </w:pPr>
            <w:r>
              <w:rPr>
                <w:rFonts w:ascii="Arial" w:hAnsi="Arial" w:cs="Arial"/>
                <w:b/>
                <w:bCs/>
                <w:sz w:val="20"/>
                <w:szCs w:val="22"/>
              </w:rPr>
              <w:t>Condition</w:t>
            </w:r>
          </w:p>
        </w:tc>
        <w:tc>
          <w:tcPr>
            <w:tcW w:w="2160" w:type="dxa"/>
            <w:gridSpan w:val="2"/>
            <w:tcBorders>
              <w:top w:val="single" w:sz="4" w:space="0" w:color="auto"/>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2"/>
              </w:rPr>
            </w:pPr>
            <w:r>
              <w:rPr>
                <w:rFonts w:ascii="Arial" w:hAnsi="Arial" w:cs="Arial"/>
                <w:b/>
                <w:bCs/>
                <w:sz w:val="20"/>
                <w:szCs w:val="22"/>
              </w:rPr>
              <w:t>Pre-spawn</w:t>
            </w:r>
          </w:p>
        </w:tc>
        <w:tc>
          <w:tcPr>
            <w:tcW w:w="2198" w:type="dxa"/>
            <w:gridSpan w:val="2"/>
            <w:tcBorders>
              <w:top w:val="single" w:sz="4" w:space="0" w:color="auto"/>
              <w:bottom w:val="double" w:sz="4" w:space="0" w:color="auto"/>
            </w:tcBorders>
            <w:noWrap/>
            <w:tcMar>
              <w:top w:w="17" w:type="dxa"/>
              <w:left w:w="17" w:type="dxa"/>
              <w:bottom w:w="0" w:type="dxa"/>
              <w:right w:w="17" w:type="dxa"/>
            </w:tcMar>
            <w:vAlign w:val="bottom"/>
          </w:tcPr>
          <w:p w:rsidR="00000000" w:rsidRDefault="00D93457">
            <w:pPr>
              <w:ind w:right="-34"/>
              <w:jc w:val="center"/>
              <w:rPr>
                <w:rFonts w:ascii="Arial" w:hAnsi="Arial" w:cs="Arial"/>
                <w:b/>
                <w:bCs/>
                <w:sz w:val="20"/>
                <w:szCs w:val="22"/>
              </w:rPr>
            </w:pPr>
            <w:r>
              <w:rPr>
                <w:rFonts w:ascii="Arial" w:hAnsi="Arial" w:cs="Arial"/>
                <w:b/>
                <w:bCs/>
                <w:sz w:val="20"/>
                <w:szCs w:val="22"/>
              </w:rPr>
              <w:t>Kelt</w:t>
            </w:r>
          </w:p>
        </w:tc>
        <w:tc>
          <w:tcPr>
            <w:tcW w:w="2160" w:type="dxa"/>
            <w:gridSpan w:val="3"/>
            <w:tcBorders>
              <w:top w:val="single" w:sz="4" w:space="0" w:color="auto"/>
              <w:bottom w:val="double" w:sz="4" w:space="0" w:color="auto"/>
            </w:tcBorders>
            <w:vAlign w:val="bottom"/>
          </w:tcPr>
          <w:p w:rsidR="00000000" w:rsidRDefault="00D93457">
            <w:pPr>
              <w:jc w:val="center"/>
              <w:rPr>
                <w:rFonts w:ascii="Arial" w:hAnsi="Arial" w:cs="Arial"/>
                <w:b/>
                <w:bCs/>
                <w:sz w:val="20"/>
                <w:szCs w:val="22"/>
              </w:rPr>
            </w:pPr>
            <w:r>
              <w:rPr>
                <w:rFonts w:ascii="Arial" w:hAnsi="Arial" w:cs="Arial"/>
                <w:b/>
                <w:bCs/>
                <w:sz w:val="20"/>
                <w:szCs w:val="22"/>
              </w:rPr>
              <w:t>Total</w:t>
            </w:r>
          </w:p>
        </w:tc>
      </w:tr>
      <w:tr w:rsidR="00000000">
        <w:trPr>
          <w:gridAfter w:val="1"/>
          <w:wAfter w:w="18" w:type="dxa"/>
          <w:trHeight w:val="285"/>
        </w:trPr>
        <w:tc>
          <w:tcPr>
            <w:tcW w:w="2146" w:type="dxa"/>
            <w:gridSpan w:val="2"/>
            <w:tcBorders>
              <w:bottom w:val="nil"/>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burn</w:t>
            </w:r>
          </w:p>
        </w:tc>
        <w:tc>
          <w:tcPr>
            <w:tcW w:w="2171" w:type="dxa"/>
            <w:gridSpan w:val="2"/>
            <w:tcBorders>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 (1.0%)</w:t>
            </w:r>
          </w:p>
        </w:tc>
        <w:tc>
          <w:tcPr>
            <w:tcW w:w="2181" w:type="dxa"/>
            <w:tcBorders>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73 (19.</w:t>
            </w:r>
            <w:r>
              <w:rPr>
                <w:rFonts w:ascii="Arial" w:hAnsi="Arial" w:cs="Arial"/>
                <w:sz w:val="20"/>
                <w:szCs w:val="20"/>
              </w:rPr>
              <w:t>1%)</w:t>
            </w:r>
          </w:p>
        </w:tc>
        <w:tc>
          <w:tcPr>
            <w:tcW w:w="2142" w:type="dxa"/>
            <w:gridSpan w:val="2"/>
            <w:tcBorders>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77 (20.1%)</w:t>
            </w:r>
          </w:p>
        </w:tc>
      </w:tr>
      <w:tr w:rsidR="00000000">
        <w:trPr>
          <w:gridAfter w:val="1"/>
          <w:wAfter w:w="18" w:type="dxa"/>
          <w:trHeight w:val="255"/>
        </w:trPr>
        <w:tc>
          <w:tcPr>
            <w:tcW w:w="2146" w:type="dxa"/>
            <w:gridSpan w:val="2"/>
            <w:tcBorders>
              <w:top w:val="nil"/>
              <w:bottom w:val="nil"/>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fungus</w:t>
            </w:r>
          </w:p>
        </w:tc>
        <w:tc>
          <w:tcPr>
            <w:tcW w:w="2171" w:type="dxa"/>
            <w:gridSpan w:val="2"/>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 (1.3%)</w:t>
            </w:r>
          </w:p>
        </w:tc>
        <w:tc>
          <w:tcPr>
            <w:tcW w:w="2181"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55 (14.4%)</w:t>
            </w:r>
          </w:p>
        </w:tc>
        <w:tc>
          <w:tcPr>
            <w:tcW w:w="2142" w:type="dxa"/>
            <w:gridSpan w:val="2"/>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60 (15.7%)</w:t>
            </w:r>
          </w:p>
        </w:tc>
      </w:tr>
      <w:tr w:rsidR="00000000">
        <w:trPr>
          <w:gridAfter w:val="1"/>
          <w:wAfter w:w="18" w:type="dxa"/>
          <w:trHeight w:val="255"/>
        </w:trPr>
        <w:tc>
          <w:tcPr>
            <w:tcW w:w="2146" w:type="dxa"/>
            <w:gridSpan w:val="2"/>
            <w:tcBorders>
              <w:top w:val="nil"/>
              <w:bottom w:val="nil"/>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burn &amp; fungus</w:t>
            </w:r>
          </w:p>
        </w:tc>
        <w:tc>
          <w:tcPr>
            <w:tcW w:w="2171" w:type="dxa"/>
            <w:gridSpan w:val="2"/>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 (0.3%)</w:t>
            </w:r>
          </w:p>
        </w:tc>
        <w:tc>
          <w:tcPr>
            <w:tcW w:w="2181"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37 (9.7%)</w:t>
            </w:r>
          </w:p>
        </w:tc>
        <w:tc>
          <w:tcPr>
            <w:tcW w:w="2142" w:type="dxa"/>
            <w:gridSpan w:val="2"/>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38 (10.0%)</w:t>
            </w:r>
          </w:p>
        </w:tc>
      </w:tr>
      <w:tr w:rsidR="00000000">
        <w:trPr>
          <w:gridAfter w:val="1"/>
          <w:wAfter w:w="18" w:type="dxa"/>
          <w:trHeight w:val="255"/>
        </w:trPr>
        <w:tc>
          <w:tcPr>
            <w:tcW w:w="2146" w:type="dxa"/>
            <w:gridSpan w:val="2"/>
            <w:tcBorders>
              <w:top w:val="nil"/>
              <w:bottom w:val="single" w:sz="4" w:space="0" w:color="auto"/>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scrape</w:t>
            </w:r>
          </w:p>
        </w:tc>
        <w:tc>
          <w:tcPr>
            <w:tcW w:w="2171" w:type="dxa"/>
            <w:gridSpan w:val="2"/>
            <w:tcBorders>
              <w:top w:val="nil"/>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2181" w:type="dxa"/>
            <w:tcBorders>
              <w:top w:val="nil"/>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 (1.0%)</w:t>
            </w:r>
          </w:p>
        </w:tc>
        <w:tc>
          <w:tcPr>
            <w:tcW w:w="2142" w:type="dxa"/>
            <w:gridSpan w:val="2"/>
            <w:tcBorders>
              <w:top w:val="nil"/>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 (1.0%)</w:t>
            </w:r>
          </w:p>
        </w:tc>
      </w:tr>
      <w:tr w:rsidR="00000000">
        <w:trPr>
          <w:gridAfter w:val="1"/>
          <w:wAfter w:w="18" w:type="dxa"/>
          <w:trHeight w:val="255"/>
        </w:trPr>
        <w:tc>
          <w:tcPr>
            <w:tcW w:w="2146" w:type="dxa"/>
            <w:gridSpan w:val="2"/>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Total</w:t>
            </w:r>
          </w:p>
        </w:tc>
        <w:tc>
          <w:tcPr>
            <w:tcW w:w="2171" w:type="dxa"/>
            <w:gridSpan w:val="2"/>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10 (2.6%)</w:t>
            </w:r>
          </w:p>
        </w:tc>
        <w:tc>
          <w:tcPr>
            <w:tcW w:w="2181"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169 (44.2%)</w:t>
            </w:r>
          </w:p>
        </w:tc>
        <w:tc>
          <w:tcPr>
            <w:tcW w:w="2142" w:type="dxa"/>
            <w:gridSpan w:val="2"/>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179 (46.8%)</w:t>
            </w:r>
          </w:p>
        </w:tc>
      </w:tr>
    </w:tbl>
    <w:p w:rsidR="00000000" w:rsidRDefault="00D93457"/>
    <w:p w:rsidR="00000000" w:rsidRDefault="00D93457">
      <w:pPr>
        <w:pStyle w:val="Heading1"/>
        <w:ind w:left="0" w:firstLine="0"/>
        <w:rPr>
          <w:rFonts w:ascii="Arial" w:hAnsi="Arial" w:cs="Arial"/>
          <w:b w:val="0"/>
          <w:bCs/>
          <w:sz w:val="20"/>
        </w:rPr>
      </w:pPr>
      <w:proofErr w:type="gramStart"/>
      <w:r>
        <w:rPr>
          <w:rFonts w:ascii="Arial" w:hAnsi="Arial" w:cs="Arial"/>
          <w:b w:val="0"/>
          <w:bCs/>
          <w:sz w:val="20"/>
        </w:rPr>
        <w:t>Table 3.</w:t>
      </w:r>
      <w:proofErr w:type="gramEnd"/>
      <w:r>
        <w:rPr>
          <w:rFonts w:ascii="Arial" w:hAnsi="Arial" w:cs="Arial"/>
          <w:b w:val="0"/>
          <w:bCs/>
          <w:sz w:val="20"/>
        </w:rPr>
        <w:t xml:space="preserve">  Condition and coloration of pre and post spawn steelhead, as </w:t>
      </w:r>
      <w:r>
        <w:rPr>
          <w:rFonts w:ascii="Arial" w:hAnsi="Arial" w:cs="Arial"/>
          <w:b w:val="0"/>
          <w:bCs/>
          <w:sz w:val="20"/>
        </w:rPr>
        <w:t>well as steelhead with unidentified maturation, sampled at the McNary juvenile fish facility in 2001.</w:t>
      </w:r>
    </w:p>
    <w:tbl>
      <w:tblPr>
        <w:tblW w:w="8703" w:type="dxa"/>
        <w:tblLayout w:type="fixed"/>
        <w:tblCellMar>
          <w:left w:w="0" w:type="dxa"/>
          <w:right w:w="0" w:type="dxa"/>
        </w:tblCellMar>
        <w:tblLook w:val="0000"/>
      </w:tblPr>
      <w:tblGrid>
        <w:gridCol w:w="1160"/>
        <w:gridCol w:w="722"/>
        <w:gridCol w:w="1321"/>
        <w:gridCol w:w="657"/>
        <w:gridCol w:w="864"/>
        <w:gridCol w:w="747"/>
        <w:gridCol w:w="1320"/>
        <w:gridCol w:w="13"/>
        <w:gridCol w:w="882"/>
        <w:gridCol w:w="963"/>
        <w:gridCol w:w="54"/>
      </w:tblGrid>
      <w:tr w:rsidR="00000000">
        <w:trPr>
          <w:cantSplit/>
          <w:trHeight w:val="255"/>
        </w:trPr>
        <w:tc>
          <w:tcPr>
            <w:tcW w:w="1160" w:type="dxa"/>
            <w:tcBorders>
              <w:top w:val="single" w:sz="4" w:space="0" w:color="auto"/>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 </w:t>
            </w:r>
          </w:p>
        </w:tc>
        <w:tc>
          <w:tcPr>
            <w:tcW w:w="2700" w:type="dxa"/>
            <w:gridSpan w:val="3"/>
            <w:tcBorders>
              <w:top w:val="single" w:sz="4" w:space="0" w:color="auto"/>
            </w:tcBorders>
            <w:noWrap/>
            <w:tcMar>
              <w:top w:w="17" w:type="dxa"/>
              <w:left w:w="17" w:type="dxa"/>
              <w:bottom w:w="0" w:type="dxa"/>
              <w:right w:w="17" w:type="dxa"/>
            </w:tcMar>
            <w:vAlign w:val="bottom"/>
          </w:tcPr>
          <w:p w:rsidR="00000000" w:rsidRDefault="00D93457">
            <w:pPr>
              <w:pStyle w:val="Heading2"/>
              <w:rPr>
                <w:rFonts w:ascii="Arial" w:hAnsi="Arial" w:cs="Arial"/>
                <w:sz w:val="20"/>
                <w:u w:val="single"/>
              </w:rPr>
            </w:pPr>
            <w:r>
              <w:rPr>
                <w:rFonts w:ascii="Arial" w:hAnsi="Arial" w:cs="Arial"/>
                <w:sz w:val="20"/>
                <w:u w:val="single"/>
              </w:rPr>
              <w:t>Pre -Spawn Coloration</w:t>
            </w:r>
          </w:p>
        </w:tc>
        <w:tc>
          <w:tcPr>
            <w:tcW w:w="864" w:type="dxa"/>
            <w:tcBorders>
              <w:top w:val="single" w:sz="4" w:space="0" w:color="auto"/>
            </w:tcBorders>
            <w:noWrap/>
            <w:tcMar>
              <w:top w:w="17" w:type="dxa"/>
              <w:left w:w="17" w:type="dxa"/>
              <w:bottom w:w="0" w:type="dxa"/>
              <w:right w:w="17" w:type="dxa"/>
            </w:tcMar>
            <w:vAlign w:val="bottom"/>
          </w:tcPr>
          <w:p w:rsidR="00000000" w:rsidRDefault="00D93457">
            <w:pPr>
              <w:rPr>
                <w:rFonts w:ascii="Arial" w:hAnsi="Arial" w:cs="Arial"/>
                <w:b/>
                <w:sz w:val="20"/>
                <w:szCs w:val="20"/>
              </w:rPr>
            </w:pPr>
            <w:r>
              <w:rPr>
                <w:rFonts w:ascii="Arial" w:hAnsi="Arial" w:cs="Arial"/>
                <w:b/>
                <w:sz w:val="20"/>
                <w:szCs w:val="20"/>
              </w:rPr>
              <w:t> </w:t>
            </w:r>
          </w:p>
        </w:tc>
        <w:tc>
          <w:tcPr>
            <w:tcW w:w="2080" w:type="dxa"/>
            <w:gridSpan w:val="3"/>
            <w:tcBorders>
              <w:top w:val="single" w:sz="4" w:space="0" w:color="auto"/>
            </w:tcBorders>
            <w:noWrap/>
            <w:tcMar>
              <w:top w:w="17" w:type="dxa"/>
              <w:left w:w="17" w:type="dxa"/>
              <w:bottom w:w="0" w:type="dxa"/>
              <w:right w:w="17" w:type="dxa"/>
            </w:tcMar>
            <w:vAlign w:val="bottom"/>
          </w:tcPr>
          <w:p w:rsidR="00000000" w:rsidRDefault="00D93457">
            <w:pPr>
              <w:pStyle w:val="Heading2"/>
              <w:rPr>
                <w:rFonts w:ascii="Arial" w:hAnsi="Arial" w:cs="Arial"/>
                <w:sz w:val="20"/>
                <w:u w:val="single"/>
              </w:rPr>
            </w:pPr>
            <w:r>
              <w:rPr>
                <w:rFonts w:ascii="Arial" w:hAnsi="Arial" w:cs="Arial"/>
                <w:sz w:val="20"/>
                <w:u w:val="single"/>
              </w:rPr>
              <w:t>Kelt Coloration</w:t>
            </w:r>
          </w:p>
        </w:tc>
        <w:tc>
          <w:tcPr>
            <w:tcW w:w="882" w:type="dxa"/>
            <w:tcBorders>
              <w:top w:val="single" w:sz="4" w:space="0" w:color="auto"/>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 </w:t>
            </w:r>
          </w:p>
        </w:tc>
        <w:tc>
          <w:tcPr>
            <w:tcW w:w="963" w:type="dxa"/>
            <w:tcBorders>
              <w:top w:val="single" w:sz="4" w:space="0" w:color="auto"/>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 </w:t>
            </w:r>
          </w:p>
        </w:tc>
        <w:tc>
          <w:tcPr>
            <w:tcW w:w="54" w:type="dxa"/>
            <w:vMerge w:val="restart"/>
            <w:tcBorders>
              <w:top w:val="nil"/>
              <w:lef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cantSplit/>
          <w:trHeight w:val="255"/>
        </w:trPr>
        <w:tc>
          <w:tcPr>
            <w:tcW w:w="1160" w:type="dxa"/>
            <w:tcBorders>
              <w:bottom w:val="double" w:sz="4" w:space="0" w:color="auto"/>
            </w:tcBorders>
            <w:noWrap/>
            <w:tcMar>
              <w:top w:w="17" w:type="dxa"/>
              <w:left w:w="17" w:type="dxa"/>
              <w:bottom w:w="0" w:type="dxa"/>
              <w:right w:w="17" w:type="dxa"/>
            </w:tcMar>
            <w:vAlign w:val="bottom"/>
          </w:tcPr>
          <w:p w:rsidR="00000000" w:rsidRDefault="00D93457">
            <w:pPr>
              <w:pStyle w:val="Heading2"/>
              <w:rPr>
                <w:rFonts w:ascii="Arial" w:hAnsi="Arial" w:cs="Arial"/>
                <w:sz w:val="20"/>
              </w:rPr>
            </w:pPr>
            <w:r>
              <w:rPr>
                <w:rFonts w:ascii="Arial" w:hAnsi="Arial" w:cs="Arial"/>
                <w:sz w:val="20"/>
              </w:rPr>
              <w:t>Condition</w:t>
            </w:r>
          </w:p>
        </w:tc>
        <w:tc>
          <w:tcPr>
            <w:tcW w:w="722"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Bright</w:t>
            </w:r>
          </w:p>
        </w:tc>
        <w:tc>
          <w:tcPr>
            <w:tcW w:w="1321"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Intermediate</w:t>
            </w:r>
          </w:p>
        </w:tc>
        <w:tc>
          <w:tcPr>
            <w:tcW w:w="657"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Dark</w:t>
            </w:r>
          </w:p>
        </w:tc>
        <w:tc>
          <w:tcPr>
            <w:tcW w:w="864"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Total</w:t>
            </w:r>
          </w:p>
        </w:tc>
        <w:tc>
          <w:tcPr>
            <w:tcW w:w="747"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Bright</w:t>
            </w:r>
          </w:p>
        </w:tc>
        <w:tc>
          <w:tcPr>
            <w:tcW w:w="1333" w:type="dxa"/>
            <w:gridSpan w:val="2"/>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Intermediate</w:t>
            </w:r>
          </w:p>
        </w:tc>
        <w:tc>
          <w:tcPr>
            <w:tcW w:w="882"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Dark</w:t>
            </w:r>
          </w:p>
        </w:tc>
        <w:tc>
          <w:tcPr>
            <w:tcW w:w="963"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sz w:val="20"/>
                <w:szCs w:val="20"/>
              </w:rPr>
            </w:pPr>
            <w:r>
              <w:rPr>
                <w:rFonts w:ascii="Arial" w:hAnsi="Arial" w:cs="Arial"/>
                <w:b/>
                <w:sz w:val="20"/>
                <w:szCs w:val="20"/>
              </w:rPr>
              <w:t>Total</w:t>
            </w:r>
          </w:p>
        </w:tc>
        <w:tc>
          <w:tcPr>
            <w:tcW w:w="54" w:type="dxa"/>
            <w:vMerge/>
            <w:tcBorders>
              <w:left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p>
        </w:tc>
      </w:tr>
      <w:tr w:rsidR="00000000">
        <w:trPr>
          <w:cantSplit/>
          <w:trHeight w:val="255"/>
        </w:trPr>
        <w:tc>
          <w:tcPr>
            <w:tcW w:w="1160"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Good</w:t>
            </w:r>
          </w:p>
        </w:tc>
        <w:tc>
          <w:tcPr>
            <w:tcW w:w="722"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37</w:t>
            </w:r>
          </w:p>
        </w:tc>
        <w:tc>
          <w:tcPr>
            <w:tcW w:w="1321"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w:t>
            </w:r>
          </w:p>
        </w:tc>
        <w:tc>
          <w:tcPr>
            <w:tcW w:w="657"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864"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42</w:t>
            </w:r>
          </w:p>
        </w:tc>
        <w:tc>
          <w:tcPr>
            <w:tcW w:w="747"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80</w:t>
            </w:r>
          </w:p>
        </w:tc>
        <w:tc>
          <w:tcPr>
            <w:tcW w:w="1333" w:type="dxa"/>
            <w:gridSpan w:val="2"/>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91</w:t>
            </w:r>
          </w:p>
        </w:tc>
        <w:tc>
          <w:tcPr>
            <w:tcW w:w="882"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w:t>
            </w:r>
          </w:p>
        </w:tc>
        <w:tc>
          <w:tcPr>
            <w:tcW w:w="963" w:type="dxa"/>
            <w:tcBorders>
              <w:top w:val="double" w:sz="4" w:space="0" w:color="auto"/>
              <w:left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173</w:t>
            </w:r>
          </w:p>
        </w:tc>
        <w:tc>
          <w:tcPr>
            <w:tcW w:w="54" w:type="dxa"/>
            <w:vMerge/>
            <w:tcBorders>
              <w:left w:val="nil"/>
              <w:bottom w:val="nil"/>
            </w:tcBorders>
            <w:noWrap/>
            <w:tcMar>
              <w:top w:w="17" w:type="dxa"/>
              <w:left w:w="17" w:type="dxa"/>
              <w:bottom w:w="0" w:type="dxa"/>
              <w:right w:w="17" w:type="dxa"/>
            </w:tcMar>
            <w:vAlign w:val="bottom"/>
          </w:tcPr>
          <w:p w:rsidR="00000000" w:rsidRDefault="00D93457">
            <w:pPr>
              <w:ind w:left="37" w:hanging="37"/>
              <w:jc w:val="center"/>
              <w:rPr>
                <w:rFonts w:ascii="Arial" w:hAnsi="Arial" w:cs="Arial"/>
                <w:sz w:val="20"/>
                <w:szCs w:val="20"/>
              </w:rPr>
            </w:pPr>
          </w:p>
        </w:tc>
      </w:tr>
      <w:tr w:rsidR="00000000">
        <w:trPr>
          <w:trHeight w:val="255"/>
        </w:trPr>
        <w:tc>
          <w:tcPr>
            <w:tcW w:w="1160" w:type="dxa"/>
            <w:tcBorders>
              <w:top w:val="nil"/>
              <w:bottom w:val="nil"/>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Fai</w:t>
            </w:r>
            <w:r>
              <w:rPr>
                <w:rFonts w:ascii="Arial" w:hAnsi="Arial" w:cs="Arial"/>
                <w:sz w:val="20"/>
                <w:szCs w:val="20"/>
              </w:rPr>
              <w:t>r</w:t>
            </w:r>
          </w:p>
        </w:tc>
        <w:tc>
          <w:tcPr>
            <w:tcW w:w="722"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1321"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w:t>
            </w:r>
          </w:p>
        </w:tc>
        <w:tc>
          <w:tcPr>
            <w:tcW w:w="657"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864"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w:t>
            </w:r>
          </w:p>
        </w:tc>
        <w:tc>
          <w:tcPr>
            <w:tcW w:w="747"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11</w:t>
            </w:r>
          </w:p>
        </w:tc>
        <w:tc>
          <w:tcPr>
            <w:tcW w:w="1333" w:type="dxa"/>
            <w:gridSpan w:val="2"/>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36</w:t>
            </w:r>
          </w:p>
        </w:tc>
        <w:tc>
          <w:tcPr>
            <w:tcW w:w="882"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963" w:type="dxa"/>
            <w:tcBorders>
              <w:top w:val="nil"/>
              <w:left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47</w:t>
            </w:r>
          </w:p>
        </w:tc>
        <w:tc>
          <w:tcPr>
            <w:tcW w:w="54" w:type="dxa"/>
            <w:tcBorders>
              <w:top w:val="nil"/>
              <w:left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p>
        </w:tc>
      </w:tr>
      <w:tr w:rsidR="00000000">
        <w:trPr>
          <w:trHeight w:val="255"/>
        </w:trPr>
        <w:tc>
          <w:tcPr>
            <w:tcW w:w="1160" w:type="dxa"/>
            <w:tcBorders>
              <w:top w:val="nil"/>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Poor</w:t>
            </w:r>
          </w:p>
        </w:tc>
        <w:tc>
          <w:tcPr>
            <w:tcW w:w="722" w:type="dxa"/>
            <w:tcBorders>
              <w:top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w:t>
            </w:r>
          </w:p>
        </w:tc>
        <w:tc>
          <w:tcPr>
            <w:tcW w:w="1321" w:type="dxa"/>
            <w:tcBorders>
              <w:top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6</w:t>
            </w:r>
          </w:p>
        </w:tc>
        <w:tc>
          <w:tcPr>
            <w:tcW w:w="657" w:type="dxa"/>
            <w:tcBorders>
              <w:top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864" w:type="dxa"/>
            <w:tcBorders>
              <w:top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9</w:t>
            </w:r>
          </w:p>
        </w:tc>
        <w:tc>
          <w:tcPr>
            <w:tcW w:w="747" w:type="dxa"/>
            <w:tcBorders>
              <w:top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9</w:t>
            </w:r>
          </w:p>
        </w:tc>
        <w:tc>
          <w:tcPr>
            <w:tcW w:w="1333" w:type="dxa"/>
            <w:gridSpan w:val="2"/>
            <w:tcBorders>
              <w:top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80</w:t>
            </w:r>
          </w:p>
        </w:tc>
        <w:tc>
          <w:tcPr>
            <w:tcW w:w="882" w:type="dxa"/>
            <w:tcBorders>
              <w:top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15</w:t>
            </w:r>
          </w:p>
        </w:tc>
        <w:tc>
          <w:tcPr>
            <w:tcW w:w="963" w:type="dxa"/>
            <w:tcBorders>
              <w:top w:val="nil"/>
              <w:left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104</w:t>
            </w:r>
          </w:p>
        </w:tc>
        <w:tc>
          <w:tcPr>
            <w:tcW w:w="54" w:type="dxa"/>
            <w:tcBorders>
              <w:top w:val="nil"/>
              <w:left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p>
        </w:tc>
      </w:tr>
      <w:tr w:rsidR="00000000">
        <w:trPr>
          <w:gridAfter w:val="1"/>
          <w:wAfter w:w="54" w:type="dxa"/>
          <w:cantSplit/>
          <w:trHeight w:val="255"/>
        </w:trPr>
        <w:tc>
          <w:tcPr>
            <w:tcW w:w="1160"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Dead</w:t>
            </w:r>
          </w:p>
        </w:tc>
        <w:tc>
          <w:tcPr>
            <w:tcW w:w="722"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1321"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657"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864"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747"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1333" w:type="dxa"/>
            <w:gridSpan w:val="2"/>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882"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963" w:type="dxa"/>
            <w:tcBorders>
              <w:top w:val="nil"/>
              <w:left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w:t>
            </w:r>
          </w:p>
        </w:tc>
      </w:tr>
      <w:tr w:rsidR="00000000">
        <w:trPr>
          <w:gridAfter w:val="1"/>
          <w:wAfter w:w="54" w:type="dxa"/>
          <w:cantSplit/>
          <w:trHeight w:val="270"/>
        </w:trPr>
        <w:tc>
          <w:tcPr>
            <w:tcW w:w="1160"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Total</w:t>
            </w:r>
          </w:p>
        </w:tc>
        <w:tc>
          <w:tcPr>
            <w:tcW w:w="722"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41</w:t>
            </w:r>
          </w:p>
        </w:tc>
        <w:tc>
          <w:tcPr>
            <w:tcW w:w="1321"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14</w:t>
            </w:r>
          </w:p>
        </w:tc>
        <w:tc>
          <w:tcPr>
            <w:tcW w:w="657"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864"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55</w:t>
            </w:r>
          </w:p>
        </w:tc>
        <w:tc>
          <w:tcPr>
            <w:tcW w:w="747"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101</w:t>
            </w:r>
          </w:p>
        </w:tc>
        <w:tc>
          <w:tcPr>
            <w:tcW w:w="1320"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208</w:t>
            </w:r>
          </w:p>
        </w:tc>
        <w:tc>
          <w:tcPr>
            <w:tcW w:w="895" w:type="dxa"/>
            <w:gridSpan w:val="2"/>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highlight w:val="yellow"/>
              </w:rPr>
            </w:pPr>
            <w:r>
              <w:rPr>
                <w:rFonts w:ascii="Arial" w:hAnsi="Arial" w:cs="Arial"/>
                <w:sz w:val="20"/>
                <w:szCs w:val="20"/>
              </w:rPr>
              <w:t>18</w:t>
            </w:r>
          </w:p>
        </w:tc>
        <w:tc>
          <w:tcPr>
            <w:tcW w:w="963"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highlight w:val="yellow"/>
              </w:rPr>
            </w:pPr>
            <w:r>
              <w:rPr>
                <w:rFonts w:ascii="Arial" w:hAnsi="Arial" w:cs="Arial"/>
                <w:sz w:val="20"/>
                <w:szCs w:val="20"/>
              </w:rPr>
              <w:t>327*</w:t>
            </w:r>
          </w:p>
        </w:tc>
      </w:tr>
    </w:tbl>
    <w:p w:rsidR="00000000" w:rsidRDefault="00D93457">
      <w:pPr>
        <w:pStyle w:val="IndexHeading"/>
        <w:rPr>
          <w:rFonts w:cs="Arial"/>
          <w:b w:val="0"/>
          <w:bCs w:val="0"/>
          <w:sz w:val="18"/>
        </w:rPr>
      </w:pPr>
      <w:r>
        <w:rPr>
          <w:rFonts w:cs="Arial"/>
          <w:b w:val="0"/>
          <w:bCs w:val="0"/>
          <w:sz w:val="18"/>
        </w:rPr>
        <w:t xml:space="preserve">*Coloration of one additional </w:t>
      </w:r>
      <w:proofErr w:type="gramStart"/>
      <w:r>
        <w:rPr>
          <w:rFonts w:cs="Arial"/>
          <w:b w:val="0"/>
          <w:bCs w:val="0"/>
          <w:sz w:val="18"/>
        </w:rPr>
        <w:t>kelt</w:t>
      </w:r>
      <w:proofErr w:type="gramEnd"/>
      <w:r>
        <w:rPr>
          <w:rFonts w:cs="Arial"/>
          <w:b w:val="0"/>
          <w:bCs w:val="0"/>
          <w:sz w:val="18"/>
        </w:rPr>
        <w:t xml:space="preserve"> was not recorded</w:t>
      </w:r>
    </w:p>
    <w:p w:rsidR="00000000" w:rsidRDefault="00D93457">
      <w:pPr>
        <w:rPr>
          <w:b/>
          <w:bCs/>
        </w:rPr>
      </w:pPr>
    </w:p>
    <w:p w:rsidR="00000000" w:rsidRDefault="00D93457">
      <w:pPr>
        <w:rPr>
          <w:b/>
          <w:bCs/>
        </w:rPr>
      </w:pPr>
      <w:r>
        <w:rPr>
          <w:b/>
          <w:bCs/>
        </w:rPr>
        <w:t>John Day:</w:t>
      </w:r>
      <w:r>
        <w:rPr>
          <w:b/>
        </w:rPr>
        <w:t xml:space="preserve"> Abundance and Condition</w:t>
      </w:r>
    </w:p>
    <w:p w:rsidR="00000000" w:rsidRDefault="00D93457">
      <w:pPr>
        <w:ind w:firstLine="720"/>
      </w:pPr>
      <w:r>
        <w:rPr>
          <w:bCs/>
        </w:rPr>
        <w:t xml:space="preserve">At John Day Dam, </w:t>
      </w:r>
      <w:proofErr w:type="gramStart"/>
      <w:r>
        <w:rPr>
          <w:bCs/>
        </w:rPr>
        <w:t>steelhead were</w:t>
      </w:r>
      <w:proofErr w:type="gramEnd"/>
      <w:r>
        <w:rPr>
          <w:bCs/>
        </w:rPr>
        <w:t xml:space="preserve"> collected over a nine-week peri</w:t>
      </w:r>
      <w:r>
        <w:rPr>
          <w:bCs/>
        </w:rPr>
        <w:t xml:space="preserve">od (Appendix A-2).  At JDD, we identified 1,105 of the estimated 2,022 kelts that passed through the facility.  The majority of the sampled steelhead </w:t>
      </w:r>
      <w:proofErr w:type="gramStart"/>
      <w:r>
        <w:rPr>
          <w:bCs/>
        </w:rPr>
        <w:t>were</w:t>
      </w:r>
      <w:proofErr w:type="gramEnd"/>
      <w:r>
        <w:rPr>
          <w:bCs/>
        </w:rPr>
        <w:t xml:space="preserve"> identified as kelts (92%; 1,105/1,207).  Roughly, 72% (794/1,105) of examined kelts were categorized </w:t>
      </w:r>
      <w:r>
        <w:rPr>
          <w:bCs/>
        </w:rPr>
        <w:t xml:space="preserve">as being in good or fair condition.  Most kelts (95%; 1,043/1,103) were rated as having bright or intermediate coloration (Table 4).  The prevalence of head burn and related conditions from the sampled steelhead populace are also depicted below (Table 5). </w:t>
      </w:r>
      <w:r>
        <w:rPr>
          <w:bCs/>
        </w:rPr>
        <w:t xml:space="preserve"> The majority (92%; 619/671) of sampled kelts were female.  Documented sexual ratios (from McN and JDD) reflect prior data from the Columbia Basin</w:t>
      </w:r>
      <w:r>
        <w:t xml:space="preserve"> (Leider et al. 1986, Evans and Beaty 2001), and the sexual ratios of kelts from other anadromous iteroparous </w:t>
      </w:r>
      <w:r>
        <w:t xml:space="preserve">salmonids. </w:t>
      </w:r>
    </w:p>
    <w:p w:rsidR="00000000" w:rsidRDefault="00D93457">
      <w:pPr>
        <w:pStyle w:val="Heading1"/>
        <w:ind w:left="0" w:firstLine="0"/>
        <w:rPr>
          <w:rFonts w:ascii="Arial" w:hAnsi="Arial" w:cs="Arial"/>
          <w:b w:val="0"/>
          <w:bCs/>
          <w:sz w:val="20"/>
        </w:rPr>
      </w:pPr>
      <w:proofErr w:type="gramStart"/>
      <w:r>
        <w:rPr>
          <w:rFonts w:ascii="Arial" w:hAnsi="Arial" w:cs="Arial"/>
          <w:b w:val="0"/>
          <w:bCs/>
          <w:sz w:val="20"/>
        </w:rPr>
        <w:lastRenderedPageBreak/>
        <w:t>Table 4.</w:t>
      </w:r>
      <w:proofErr w:type="gramEnd"/>
      <w:r>
        <w:rPr>
          <w:rFonts w:ascii="Arial" w:hAnsi="Arial" w:cs="Arial"/>
          <w:b w:val="0"/>
          <w:bCs/>
          <w:sz w:val="20"/>
        </w:rPr>
        <w:t xml:space="preserve">  Condition and coloration of pre, and post spawn steelhead, as well as steelhead with an unidentified maturation status, sampled at the John Day smolt monitoring facility in 2001.</w:t>
      </w:r>
    </w:p>
    <w:tbl>
      <w:tblPr>
        <w:tblW w:w="9557" w:type="dxa"/>
        <w:tblLayout w:type="fixed"/>
        <w:tblCellMar>
          <w:left w:w="0" w:type="dxa"/>
          <w:right w:w="0" w:type="dxa"/>
        </w:tblCellMar>
        <w:tblLook w:val="0000"/>
      </w:tblPr>
      <w:tblGrid>
        <w:gridCol w:w="1160"/>
        <w:gridCol w:w="722"/>
        <w:gridCol w:w="1321"/>
        <w:gridCol w:w="675"/>
        <w:gridCol w:w="909"/>
        <w:gridCol w:w="774"/>
        <w:gridCol w:w="1314"/>
        <w:gridCol w:w="828"/>
        <w:gridCol w:w="954"/>
        <w:gridCol w:w="900"/>
      </w:tblGrid>
      <w:tr w:rsidR="00000000">
        <w:trPr>
          <w:cantSplit/>
          <w:trHeight w:val="215"/>
        </w:trPr>
        <w:tc>
          <w:tcPr>
            <w:tcW w:w="1160" w:type="dxa"/>
            <w:tcBorders>
              <w:top w:val="single" w:sz="4" w:space="0" w:color="auto"/>
              <w:bottom w:val="nil"/>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 </w:t>
            </w:r>
          </w:p>
        </w:tc>
        <w:tc>
          <w:tcPr>
            <w:tcW w:w="2718" w:type="dxa"/>
            <w:gridSpan w:val="3"/>
            <w:tcBorders>
              <w:top w:val="single" w:sz="4" w:space="0" w:color="auto"/>
              <w:right w:val="nil"/>
            </w:tcBorders>
            <w:noWrap/>
            <w:tcMar>
              <w:top w:w="17" w:type="dxa"/>
              <w:left w:w="17" w:type="dxa"/>
              <w:bottom w:w="0" w:type="dxa"/>
              <w:right w:w="17" w:type="dxa"/>
            </w:tcMar>
            <w:vAlign w:val="bottom"/>
          </w:tcPr>
          <w:p w:rsidR="00000000" w:rsidRDefault="00D93457">
            <w:pPr>
              <w:pStyle w:val="Heading2"/>
              <w:rPr>
                <w:rFonts w:ascii="Arial" w:hAnsi="Arial" w:cs="Arial"/>
                <w:bCs/>
                <w:sz w:val="20"/>
                <w:u w:val="single"/>
              </w:rPr>
            </w:pPr>
            <w:r>
              <w:rPr>
                <w:rFonts w:ascii="Arial" w:hAnsi="Arial" w:cs="Arial"/>
                <w:bCs/>
                <w:sz w:val="20"/>
                <w:u w:val="single"/>
              </w:rPr>
              <w:t>Pre-Spawn Coloration</w:t>
            </w:r>
          </w:p>
        </w:tc>
        <w:tc>
          <w:tcPr>
            <w:tcW w:w="909" w:type="dxa"/>
            <w:tcBorders>
              <w:top w:val="single" w:sz="4" w:space="0" w:color="auto"/>
              <w:left w:val="nil"/>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 </w:t>
            </w:r>
          </w:p>
        </w:tc>
        <w:tc>
          <w:tcPr>
            <w:tcW w:w="2088" w:type="dxa"/>
            <w:gridSpan w:val="2"/>
            <w:tcBorders>
              <w:top w:val="single" w:sz="4" w:space="0" w:color="auto"/>
              <w:right w:val="nil"/>
            </w:tcBorders>
            <w:noWrap/>
            <w:tcMar>
              <w:top w:w="17" w:type="dxa"/>
              <w:left w:w="17" w:type="dxa"/>
              <w:bottom w:w="0" w:type="dxa"/>
              <w:right w:w="17" w:type="dxa"/>
            </w:tcMar>
            <w:vAlign w:val="bottom"/>
          </w:tcPr>
          <w:p w:rsidR="00000000" w:rsidRDefault="00D93457">
            <w:pPr>
              <w:pStyle w:val="Heading2"/>
              <w:rPr>
                <w:rFonts w:ascii="Arial" w:hAnsi="Arial" w:cs="Arial"/>
                <w:bCs/>
                <w:sz w:val="20"/>
                <w:u w:val="single"/>
              </w:rPr>
            </w:pPr>
            <w:r>
              <w:rPr>
                <w:rFonts w:ascii="Arial" w:hAnsi="Arial" w:cs="Arial"/>
                <w:bCs/>
                <w:sz w:val="20"/>
                <w:u w:val="single"/>
              </w:rPr>
              <w:t>Kelt Coloration</w:t>
            </w:r>
          </w:p>
        </w:tc>
        <w:tc>
          <w:tcPr>
            <w:tcW w:w="828" w:type="dxa"/>
            <w:tcBorders>
              <w:top w:val="single" w:sz="4" w:space="0" w:color="auto"/>
              <w:left w:val="nil"/>
              <w:right w:val="nil"/>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 </w:t>
            </w:r>
          </w:p>
        </w:tc>
        <w:tc>
          <w:tcPr>
            <w:tcW w:w="954" w:type="dxa"/>
            <w:tcBorders>
              <w:top w:val="single" w:sz="4" w:space="0" w:color="auto"/>
              <w:left w:val="nil"/>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 </w:t>
            </w:r>
          </w:p>
        </w:tc>
        <w:tc>
          <w:tcPr>
            <w:tcW w:w="900" w:type="dxa"/>
            <w:vMerge w:val="restart"/>
            <w:tcBorders>
              <w:top w:val="nil"/>
              <w:lef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cantSplit/>
          <w:trHeight w:val="255"/>
        </w:trPr>
        <w:tc>
          <w:tcPr>
            <w:tcW w:w="1160" w:type="dxa"/>
            <w:tcBorders>
              <w:top w:val="nil"/>
              <w:bottom w:val="double" w:sz="4" w:space="0" w:color="auto"/>
            </w:tcBorders>
            <w:noWrap/>
            <w:tcMar>
              <w:top w:w="17" w:type="dxa"/>
              <w:left w:w="17" w:type="dxa"/>
              <w:bottom w:w="0" w:type="dxa"/>
              <w:right w:w="17" w:type="dxa"/>
            </w:tcMar>
            <w:vAlign w:val="bottom"/>
          </w:tcPr>
          <w:p w:rsidR="00000000" w:rsidRDefault="00D93457">
            <w:pPr>
              <w:pStyle w:val="Heading2"/>
              <w:rPr>
                <w:rFonts w:ascii="Arial" w:hAnsi="Arial" w:cs="Arial"/>
                <w:bCs/>
                <w:sz w:val="20"/>
              </w:rPr>
            </w:pPr>
            <w:r>
              <w:rPr>
                <w:rFonts w:ascii="Arial" w:hAnsi="Arial" w:cs="Arial"/>
                <w:bCs/>
                <w:sz w:val="20"/>
              </w:rPr>
              <w:t>Conditio</w:t>
            </w:r>
            <w:r>
              <w:rPr>
                <w:rFonts w:ascii="Arial" w:hAnsi="Arial" w:cs="Arial"/>
                <w:bCs/>
                <w:sz w:val="20"/>
              </w:rPr>
              <w:t>n</w:t>
            </w:r>
          </w:p>
        </w:tc>
        <w:tc>
          <w:tcPr>
            <w:tcW w:w="722"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Bright</w:t>
            </w:r>
          </w:p>
        </w:tc>
        <w:tc>
          <w:tcPr>
            <w:tcW w:w="1321"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Intermediate</w:t>
            </w:r>
          </w:p>
        </w:tc>
        <w:tc>
          <w:tcPr>
            <w:tcW w:w="675"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Dark</w:t>
            </w:r>
          </w:p>
        </w:tc>
        <w:tc>
          <w:tcPr>
            <w:tcW w:w="909"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Total</w:t>
            </w:r>
          </w:p>
        </w:tc>
        <w:tc>
          <w:tcPr>
            <w:tcW w:w="774"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Bright</w:t>
            </w:r>
          </w:p>
        </w:tc>
        <w:tc>
          <w:tcPr>
            <w:tcW w:w="1314"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Intermediate</w:t>
            </w:r>
          </w:p>
        </w:tc>
        <w:tc>
          <w:tcPr>
            <w:tcW w:w="828"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Dark</w:t>
            </w:r>
          </w:p>
        </w:tc>
        <w:tc>
          <w:tcPr>
            <w:tcW w:w="954" w:type="dxa"/>
            <w:tcBorders>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0"/>
              </w:rPr>
            </w:pPr>
            <w:r>
              <w:rPr>
                <w:rFonts w:ascii="Arial" w:hAnsi="Arial" w:cs="Arial"/>
                <w:b/>
                <w:bCs/>
                <w:sz w:val="20"/>
                <w:szCs w:val="20"/>
              </w:rPr>
              <w:t>Total</w:t>
            </w:r>
          </w:p>
        </w:tc>
        <w:tc>
          <w:tcPr>
            <w:tcW w:w="900" w:type="dxa"/>
            <w:vMerge/>
            <w:tcBorders>
              <w:left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p>
        </w:tc>
      </w:tr>
      <w:tr w:rsidR="00000000">
        <w:trPr>
          <w:cantSplit/>
          <w:trHeight w:val="255"/>
        </w:trPr>
        <w:tc>
          <w:tcPr>
            <w:tcW w:w="1160"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Good</w:t>
            </w:r>
          </w:p>
        </w:tc>
        <w:tc>
          <w:tcPr>
            <w:tcW w:w="722"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36</w:t>
            </w:r>
          </w:p>
        </w:tc>
        <w:tc>
          <w:tcPr>
            <w:tcW w:w="1321"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20</w:t>
            </w:r>
          </w:p>
        </w:tc>
        <w:tc>
          <w:tcPr>
            <w:tcW w:w="675"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909"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57</w:t>
            </w:r>
          </w:p>
        </w:tc>
        <w:tc>
          <w:tcPr>
            <w:tcW w:w="774"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320</w:t>
            </w:r>
          </w:p>
        </w:tc>
        <w:tc>
          <w:tcPr>
            <w:tcW w:w="1314"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212</w:t>
            </w:r>
          </w:p>
        </w:tc>
        <w:tc>
          <w:tcPr>
            <w:tcW w:w="828"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954" w:type="dxa"/>
            <w:tcBorders>
              <w:top w:val="double" w:sz="4" w:space="0" w:color="auto"/>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532</w:t>
            </w:r>
          </w:p>
        </w:tc>
        <w:tc>
          <w:tcPr>
            <w:tcW w:w="900" w:type="dxa"/>
            <w:vMerge/>
            <w:tcBorders>
              <w:left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p>
        </w:tc>
      </w:tr>
      <w:tr w:rsidR="00000000">
        <w:trPr>
          <w:trHeight w:val="255"/>
        </w:trPr>
        <w:tc>
          <w:tcPr>
            <w:tcW w:w="1160" w:type="dxa"/>
            <w:tcBorders>
              <w:top w:val="nil"/>
              <w:bottom w:val="nil"/>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Fair</w:t>
            </w:r>
          </w:p>
        </w:tc>
        <w:tc>
          <w:tcPr>
            <w:tcW w:w="722"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w:t>
            </w:r>
          </w:p>
        </w:tc>
        <w:tc>
          <w:tcPr>
            <w:tcW w:w="1321"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14</w:t>
            </w:r>
          </w:p>
        </w:tc>
        <w:tc>
          <w:tcPr>
            <w:tcW w:w="675"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909"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17</w:t>
            </w:r>
          </w:p>
        </w:tc>
        <w:tc>
          <w:tcPr>
            <w:tcW w:w="774"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62</w:t>
            </w:r>
          </w:p>
        </w:tc>
        <w:tc>
          <w:tcPr>
            <w:tcW w:w="1314"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187</w:t>
            </w:r>
          </w:p>
        </w:tc>
        <w:tc>
          <w:tcPr>
            <w:tcW w:w="828"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13</w:t>
            </w:r>
          </w:p>
        </w:tc>
        <w:tc>
          <w:tcPr>
            <w:tcW w:w="954"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262</w:t>
            </w:r>
          </w:p>
        </w:tc>
        <w:tc>
          <w:tcPr>
            <w:tcW w:w="900" w:type="dxa"/>
            <w:tcBorders>
              <w:top w:val="nil"/>
              <w:left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p>
        </w:tc>
      </w:tr>
      <w:tr w:rsidR="00000000">
        <w:trPr>
          <w:trHeight w:val="255"/>
        </w:trPr>
        <w:tc>
          <w:tcPr>
            <w:tcW w:w="1160" w:type="dxa"/>
            <w:tcBorders>
              <w:top w:val="nil"/>
              <w:bottom w:val="nil"/>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Poor</w:t>
            </w:r>
          </w:p>
        </w:tc>
        <w:tc>
          <w:tcPr>
            <w:tcW w:w="722"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1321"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21</w:t>
            </w:r>
          </w:p>
        </w:tc>
        <w:tc>
          <w:tcPr>
            <w:tcW w:w="675"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w:t>
            </w:r>
          </w:p>
        </w:tc>
        <w:tc>
          <w:tcPr>
            <w:tcW w:w="909"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26</w:t>
            </w:r>
          </w:p>
        </w:tc>
        <w:tc>
          <w:tcPr>
            <w:tcW w:w="774"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42</w:t>
            </w:r>
          </w:p>
        </w:tc>
        <w:tc>
          <w:tcPr>
            <w:tcW w:w="1314"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198</w:t>
            </w:r>
          </w:p>
        </w:tc>
        <w:tc>
          <w:tcPr>
            <w:tcW w:w="828"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45</w:t>
            </w:r>
          </w:p>
        </w:tc>
        <w:tc>
          <w:tcPr>
            <w:tcW w:w="954" w:type="dxa"/>
            <w:tcBorders>
              <w:top w:val="nil"/>
              <w:bottom w:val="nil"/>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285</w:t>
            </w:r>
          </w:p>
        </w:tc>
        <w:tc>
          <w:tcPr>
            <w:tcW w:w="900" w:type="dxa"/>
            <w:tcBorders>
              <w:top w:val="nil"/>
              <w:left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p>
        </w:tc>
      </w:tr>
      <w:tr w:rsidR="00000000">
        <w:trPr>
          <w:gridAfter w:val="1"/>
          <w:wAfter w:w="900" w:type="dxa"/>
          <w:cantSplit/>
          <w:trHeight w:val="255"/>
        </w:trPr>
        <w:tc>
          <w:tcPr>
            <w:tcW w:w="1160"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Dead</w:t>
            </w:r>
          </w:p>
        </w:tc>
        <w:tc>
          <w:tcPr>
            <w:tcW w:w="722"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1321"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675"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w:t>
            </w:r>
          </w:p>
        </w:tc>
        <w:tc>
          <w:tcPr>
            <w:tcW w:w="909"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w:t>
            </w:r>
          </w:p>
        </w:tc>
        <w:tc>
          <w:tcPr>
            <w:tcW w:w="774"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w:t>
            </w:r>
          </w:p>
        </w:tc>
        <w:tc>
          <w:tcPr>
            <w:tcW w:w="1314"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20</w:t>
            </w:r>
          </w:p>
        </w:tc>
        <w:tc>
          <w:tcPr>
            <w:tcW w:w="828"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w:t>
            </w:r>
          </w:p>
        </w:tc>
        <w:tc>
          <w:tcPr>
            <w:tcW w:w="954" w:type="dxa"/>
            <w:tcBorders>
              <w:top w:val="nil"/>
              <w:bottom w:val="single" w:sz="4" w:space="0" w:color="auto"/>
            </w:tcBorders>
            <w:shd w:val="clear" w:color="auto" w:fill="FFFFFF"/>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24</w:t>
            </w:r>
          </w:p>
        </w:tc>
      </w:tr>
      <w:tr w:rsidR="00000000">
        <w:trPr>
          <w:gridAfter w:val="1"/>
          <w:wAfter w:w="900" w:type="dxa"/>
          <w:cantSplit/>
          <w:trHeight w:val="270"/>
        </w:trPr>
        <w:tc>
          <w:tcPr>
            <w:tcW w:w="1160"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Total</w:t>
            </w:r>
          </w:p>
        </w:tc>
        <w:tc>
          <w:tcPr>
            <w:tcW w:w="722"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38</w:t>
            </w:r>
          </w:p>
        </w:tc>
        <w:tc>
          <w:tcPr>
            <w:tcW w:w="1321"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56</w:t>
            </w:r>
          </w:p>
        </w:tc>
        <w:tc>
          <w:tcPr>
            <w:tcW w:w="675"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8</w:t>
            </w:r>
          </w:p>
        </w:tc>
        <w:tc>
          <w:tcPr>
            <w:tcW w:w="909"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102</w:t>
            </w:r>
          </w:p>
        </w:tc>
        <w:tc>
          <w:tcPr>
            <w:tcW w:w="774"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426</w:t>
            </w:r>
          </w:p>
        </w:tc>
        <w:tc>
          <w:tcPr>
            <w:tcW w:w="1314"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617</w:t>
            </w:r>
          </w:p>
        </w:tc>
        <w:tc>
          <w:tcPr>
            <w:tcW w:w="828"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60</w:t>
            </w:r>
          </w:p>
        </w:tc>
        <w:tc>
          <w:tcPr>
            <w:tcW w:w="954"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1103*</w:t>
            </w:r>
          </w:p>
        </w:tc>
      </w:tr>
    </w:tbl>
    <w:p w:rsidR="00000000" w:rsidRDefault="00D93457">
      <w:pPr>
        <w:rPr>
          <w:rFonts w:ascii="Arial" w:hAnsi="Arial" w:cs="Arial"/>
          <w:sz w:val="18"/>
        </w:rPr>
      </w:pPr>
      <w:r>
        <w:rPr>
          <w:rFonts w:ascii="Arial" w:hAnsi="Arial" w:cs="Arial"/>
          <w:sz w:val="18"/>
        </w:rPr>
        <w:t>*Coloration was not recorded for two</w:t>
      </w:r>
      <w:r>
        <w:rPr>
          <w:rFonts w:ascii="Arial" w:hAnsi="Arial" w:cs="Arial"/>
          <w:sz w:val="18"/>
        </w:rPr>
        <w:t xml:space="preserve"> recaptured kelts </w:t>
      </w:r>
    </w:p>
    <w:tbl>
      <w:tblPr>
        <w:tblW w:w="8687" w:type="dxa"/>
        <w:tblLayout w:type="fixed"/>
        <w:tblCellMar>
          <w:left w:w="0" w:type="dxa"/>
          <w:right w:w="0" w:type="dxa"/>
        </w:tblCellMar>
        <w:tblLook w:val="0000"/>
      </w:tblPr>
      <w:tblGrid>
        <w:gridCol w:w="2146"/>
        <w:gridCol w:w="2146"/>
        <w:gridCol w:w="2146"/>
        <w:gridCol w:w="2147"/>
        <w:gridCol w:w="102"/>
      </w:tblGrid>
      <w:tr w:rsidR="00000000">
        <w:trPr>
          <w:trHeight w:val="255"/>
        </w:trPr>
        <w:tc>
          <w:tcPr>
            <w:tcW w:w="8687" w:type="dxa"/>
            <w:gridSpan w:val="5"/>
            <w:tcBorders>
              <w:top w:val="nil"/>
              <w:left w:val="nil"/>
              <w:bottom w:val="nil"/>
              <w:right w:val="nil"/>
            </w:tcBorders>
            <w:noWrap/>
            <w:tcMar>
              <w:top w:w="17" w:type="dxa"/>
              <w:left w:w="17" w:type="dxa"/>
              <w:bottom w:w="0" w:type="dxa"/>
              <w:right w:w="17" w:type="dxa"/>
            </w:tcMar>
            <w:vAlign w:val="bottom"/>
          </w:tcPr>
          <w:p w:rsidR="00000000" w:rsidRDefault="00D93457">
            <w:pPr>
              <w:pStyle w:val="CommentText"/>
              <w:rPr>
                <w:sz w:val="24"/>
              </w:rPr>
            </w:pPr>
          </w:p>
          <w:p w:rsidR="00000000" w:rsidRDefault="00D93457">
            <w:pPr>
              <w:pStyle w:val="CommentText"/>
              <w:rPr>
                <w:rFonts w:ascii="Arial" w:hAnsi="Arial" w:cs="Arial"/>
              </w:rPr>
            </w:pPr>
            <w:r>
              <w:rPr>
                <w:rFonts w:ascii="Arial" w:hAnsi="Arial" w:cs="Arial"/>
              </w:rPr>
              <w:t>Table 5.  Percentages of steelhead sample (n = 1198) with head burn or head fungus at the John Day Dam smolt monitoring facility in 2001.</w:t>
            </w:r>
          </w:p>
        </w:tc>
      </w:tr>
      <w:tr w:rsidR="00000000">
        <w:trPr>
          <w:gridAfter w:val="1"/>
          <w:wAfter w:w="102" w:type="dxa"/>
          <w:trHeight w:val="285"/>
        </w:trPr>
        <w:tc>
          <w:tcPr>
            <w:tcW w:w="2146" w:type="dxa"/>
            <w:tcBorders>
              <w:top w:val="single" w:sz="4" w:space="0" w:color="auto"/>
              <w:bottom w:val="double" w:sz="4" w:space="0" w:color="auto"/>
            </w:tcBorders>
            <w:noWrap/>
            <w:tcMar>
              <w:top w:w="17" w:type="dxa"/>
              <w:left w:w="17" w:type="dxa"/>
              <w:bottom w:w="0" w:type="dxa"/>
              <w:right w:w="17" w:type="dxa"/>
            </w:tcMar>
            <w:vAlign w:val="bottom"/>
          </w:tcPr>
          <w:p w:rsidR="00000000" w:rsidRDefault="00D93457">
            <w:pPr>
              <w:rPr>
                <w:rFonts w:ascii="Arial" w:hAnsi="Arial" w:cs="Arial"/>
                <w:b/>
                <w:bCs/>
                <w:sz w:val="20"/>
                <w:szCs w:val="22"/>
              </w:rPr>
            </w:pPr>
            <w:r>
              <w:rPr>
                <w:rFonts w:ascii="Arial" w:hAnsi="Arial" w:cs="Arial"/>
                <w:b/>
                <w:bCs/>
                <w:sz w:val="20"/>
                <w:szCs w:val="22"/>
              </w:rPr>
              <w:t>Condition</w:t>
            </w:r>
          </w:p>
        </w:tc>
        <w:tc>
          <w:tcPr>
            <w:tcW w:w="2146" w:type="dxa"/>
            <w:tcBorders>
              <w:top w:val="single" w:sz="4" w:space="0" w:color="auto"/>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2"/>
              </w:rPr>
            </w:pPr>
            <w:r>
              <w:rPr>
                <w:rFonts w:ascii="Arial" w:hAnsi="Arial" w:cs="Arial"/>
                <w:b/>
                <w:bCs/>
                <w:sz w:val="20"/>
                <w:szCs w:val="22"/>
              </w:rPr>
              <w:t>Pre-spawn</w:t>
            </w:r>
          </w:p>
        </w:tc>
        <w:tc>
          <w:tcPr>
            <w:tcW w:w="2146" w:type="dxa"/>
            <w:tcBorders>
              <w:top w:val="single" w:sz="4" w:space="0" w:color="auto"/>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2"/>
              </w:rPr>
            </w:pPr>
            <w:r>
              <w:rPr>
                <w:rFonts w:ascii="Arial" w:hAnsi="Arial" w:cs="Arial"/>
                <w:b/>
                <w:bCs/>
                <w:sz w:val="20"/>
                <w:szCs w:val="22"/>
              </w:rPr>
              <w:t>Kelt</w:t>
            </w:r>
          </w:p>
        </w:tc>
        <w:tc>
          <w:tcPr>
            <w:tcW w:w="2147" w:type="dxa"/>
            <w:tcBorders>
              <w:top w:val="single" w:sz="4" w:space="0" w:color="auto"/>
              <w:bottom w:val="double" w:sz="4" w:space="0" w:color="auto"/>
            </w:tcBorders>
            <w:noWrap/>
            <w:tcMar>
              <w:top w:w="17" w:type="dxa"/>
              <w:left w:w="17" w:type="dxa"/>
              <w:bottom w:w="0" w:type="dxa"/>
              <w:right w:w="17" w:type="dxa"/>
            </w:tcMar>
            <w:vAlign w:val="bottom"/>
          </w:tcPr>
          <w:p w:rsidR="00000000" w:rsidRDefault="00D93457">
            <w:pPr>
              <w:jc w:val="center"/>
              <w:rPr>
                <w:rFonts w:ascii="Arial" w:hAnsi="Arial" w:cs="Arial"/>
                <w:b/>
                <w:bCs/>
                <w:sz w:val="20"/>
                <w:szCs w:val="22"/>
              </w:rPr>
            </w:pPr>
            <w:r>
              <w:rPr>
                <w:rFonts w:ascii="Arial" w:hAnsi="Arial" w:cs="Arial"/>
                <w:b/>
                <w:bCs/>
                <w:sz w:val="20"/>
                <w:szCs w:val="22"/>
              </w:rPr>
              <w:t>Total</w:t>
            </w:r>
          </w:p>
        </w:tc>
      </w:tr>
      <w:tr w:rsidR="00000000">
        <w:trPr>
          <w:gridAfter w:val="1"/>
          <w:wAfter w:w="102" w:type="dxa"/>
          <w:trHeight w:val="255"/>
        </w:trPr>
        <w:tc>
          <w:tcPr>
            <w:tcW w:w="2146" w:type="dxa"/>
            <w:tcBorders>
              <w:top w:val="double" w:sz="4" w:space="0" w:color="auto"/>
              <w:bottom w:val="nil"/>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burn</w:t>
            </w:r>
          </w:p>
        </w:tc>
        <w:tc>
          <w:tcPr>
            <w:tcW w:w="2146" w:type="dxa"/>
            <w:tcBorders>
              <w:top w:val="double" w:sz="4" w:space="0" w:color="auto"/>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17 (1.4%)</w:t>
            </w:r>
          </w:p>
        </w:tc>
        <w:tc>
          <w:tcPr>
            <w:tcW w:w="2146" w:type="dxa"/>
            <w:tcBorders>
              <w:top w:val="double" w:sz="4" w:space="0" w:color="auto"/>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184 (15.4%)</w:t>
            </w:r>
          </w:p>
        </w:tc>
        <w:tc>
          <w:tcPr>
            <w:tcW w:w="2147" w:type="dxa"/>
            <w:tcBorders>
              <w:top w:val="double" w:sz="4" w:space="0" w:color="auto"/>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201 (16.8%)</w:t>
            </w:r>
          </w:p>
        </w:tc>
      </w:tr>
      <w:tr w:rsidR="00000000">
        <w:trPr>
          <w:gridAfter w:val="1"/>
          <w:wAfter w:w="102" w:type="dxa"/>
          <w:trHeight w:val="255"/>
        </w:trPr>
        <w:tc>
          <w:tcPr>
            <w:tcW w:w="2146" w:type="dxa"/>
            <w:tcBorders>
              <w:top w:val="nil"/>
              <w:bottom w:val="nil"/>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fungus</w:t>
            </w:r>
          </w:p>
        </w:tc>
        <w:tc>
          <w:tcPr>
            <w:tcW w:w="2146"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7 (0.6%)</w:t>
            </w:r>
          </w:p>
        </w:tc>
        <w:tc>
          <w:tcPr>
            <w:tcW w:w="2146"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26 (2.2%)</w:t>
            </w:r>
          </w:p>
        </w:tc>
        <w:tc>
          <w:tcPr>
            <w:tcW w:w="2147"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33 (2.8%)</w:t>
            </w:r>
          </w:p>
        </w:tc>
      </w:tr>
      <w:tr w:rsidR="00000000">
        <w:trPr>
          <w:gridAfter w:val="1"/>
          <w:wAfter w:w="102" w:type="dxa"/>
          <w:trHeight w:val="255"/>
        </w:trPr>
        <w:tc>
          <w:tcPr>
            <w:tcW w:w="2146" w:type="dxa"/>
            <w:tcBorders>
              <w:top w:val="nil"/>
              <w:bottom w:val="nil"/>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burn &amp; fungus</w:t>
            </w:r>
          </w:p>
        </w:tc>
        <w:tc>
          <w:tcPr>
            <w:tcW w:w="2146"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 (0.4%)</w:t>
            </w:r>
          </w:p>
        </w:tc>
        <w:tc>
          <w:tcPr>
            <w:tcW w:w="2146"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14 (1.2%)</w:t>
            </w:r>
          </w:p>
        </w:tc>
        <w:tc>
          <w:tcPr>
            <w:tcW w:w="2147" w:type="dxa"/>
            <w:tcBorders>
              <w:top w:val="nil"/>
              <w:bottom w:val="nil"/>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19 (1.6%)</w:t>
            </w:r>
          </w:p>
        </w:tc>
      </w:tr>
      <w:tr w:rsidR="00000000">
        <w:trPr>
          <w:gridAfter w:val="1"/>
          <w:wAfter w:w="102" w:type="dxa"/>
          <w:trHeight w:val="270"/>
        </w:trPr>
        <w:tc>
          <w:tcPr>
            <w:tcW w:w="2146" w:type="dxa"/>
            <w:tcBorders>
              <w:top w:val="nil"/>
              <w:bottom w:val="single" w:sz="4" w:space="0" w:color="auto"/>
            </w:tcBorders>
            <w:noWrap/>
            <w:tcMar>
              <w:top w:w="17" w:type="dxa"/>
              <w:left w:w="17" w:type="dxa"/>
              <w:bottom w:w="0" w:type="dxa"/>
              <w:right w:w="17" w:type="dxa"/>
            </w:tcMar>
            <w:vAlign w:val="bottom"/>
          </w:tcPr>
          <w:p w:rsidR="00000000" w:rsidRDefault="00D93457">
            <w:pPr>
              <w:rPr>
                <w:rFonts w:ascii="Arial" w:hAnsi="Arial" w:cs="Arial"/>
                <w:sz w:val="20"/>
                <w:szCs w:val="20"/>
              </w:rPr>
            </w:pPr>
            <w:r>
              <w:rPr>
                <w:rFonts w:ascii="Arial" w:hAnsi="Arial" w:cs="Arial"/>
                <w:sz w:val="20"/>
                <w:szCs w:val="20"/>
              </w:rPr>
              <w:t>Head scrape</w:t>
            </w:r>
          </w:p>
        </w:tc>
        <w:tc>
          <w:tcPr>
            <w:tcW w:w="2146" w:type="dxa"/>
            <w:tcBorders>
              <w:top w:val="nil"/>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0</w:t>
            </w:r>
          </w:p>
        </w:tc>
        <w:tc>
          <w:tcPr>
            <w:tcW w:w="2146" w:type="dxa"/>
            <w:tcBorders>
              <w:top w:val="nil"/>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 (0.4%)</w:t>
            </w:r>
          </w:p>
        </w:tc>
        <w:tc>
          <w:tcPr>
            <w:tcW w:w="2147" w:type="dxa"/>
            <w:tcBorders>
              <w:top w:val="nil"/>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5 (0.4%)</w:t>
            </w:r>
          </w:p>
        </w:tc>
      </w:tr>
      <w:tr w:rsidR="00000000">
        <w:trPr>
          <w:gridAfter w:val="1"/>
          <w:wAfter w:w="102" w:type="dxa"/>
          <w:trHeight w:val="270"/>
        </w:trPr>
        <w:tc>
          <w:tcPr>
            <w:tcW w:w="2146"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rPr>
                <w:rFonts w:ascii="Arial" w:hAnsi="Arial" w:cs="Arial"/>
                <w:b/>
                <w:bCs/>
                <w:sz w:val="20"/>
                <w:szCs w:val="20"/>
              </w:rPr>
            </w:pPr>
            <w:r>
              <w:rPr>
                <w:rFonts w:ascii="Arial" w:hAnsi="Arial" w:cs="Arial"/>
                <w:b/>
                <w:bCs/>
                <w:sz w:val="20"/>
                <w:szCs w:val="20"/>
              </w:rPr>
              <w:t>Total</w:t>
            </w:r>
          </w:p>
        </w:tc>
        <w:tc>
          <w:tcPr>
            <w:tcW w:w="2146"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29 (2.4%)</w:t>
            </w:r>
          </w:p>
        </w:tc>
        <w:tc>
          <w:tcPr>
            <w:tcW w:w="2146"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229 (19.2%)</w:t>
            </w:r>
          </w:p>
        </w:tc>
        <w:tc>
          <w:tcPr>
            <w:tcW w:w="2147" w:type="dxa"/>
            <w:tcBorders>
              <w:top w:val="single" w:sz="4" w:space="0" w:color="auto"/>
              <w:bottom w:val="single" w:sz="4" w:space="0" w:color="auto"/>
            </w:tcBorders>
            <w:noWrap/>
            <w:tcMar>
              <w:top w:w="17" w:type="dxa"/>
              <w:left w:w="17" w:type="dxa"/>
              <w:bottom w:w="0" w:type="dxa"/>
              <w:right w:w="17" w:type="dxa"/>
            </w:tcMar>
            <w:vAlign w:val="bottom"/>
          </w:tcPr>
          <w:p w:rsidR="00000000" w:rsidRDefault="00D93457">
            <w:pPr>
              <w:jc w:val="center"/>
              <w:rPr>
                <w:rFonts w:ascii="Arial" w:hAnsi="Arial" w:cs="Arial"/>
                <w:sz w:val="20"/>
                <w:szCs w:val="20"/>
              </w:rPr>
            </w:pPr>
            <w:r>
              <w:rPr>
                <w:rFonts w:ascii="Arial" w:hAnsi="Arial" w:cs="Arial"/>
                <w:sz w:val="20"/>
                <w:szCs w:val="20"/>
              </w:rPr>
              <w:t>258 (21.6%)</w:t>
            </w:r>
          </w:p>
        </w:tc>
      </w:tr>
    </w:tbl>
    <w:p w:rsidR="00000000" w:rsidRDefault="00D93457">
      <w:pPr>
        <w:pStyle w:val="BodyTextIndent"/>
        <w:tabs>
          <w:tab w:val="left" w:pos="-720"/>
          <w:tab w:val="right" w:pos="8640"/>
        </w:tabs>
        <w:ind w:left="0" w:right="720" w:firstLine="0"/>
        <w:rPr>
          <w:b/>
          <w:bCs/>
        </w:rPr>
      </w:pPr>
    </w:p>
    <w:p w:rsidR="00000000" w:rsidRDefault="00D93457">
      <w:pPr>
        <w:pStyle w:val="BodyTextIndent"/>
        <w:tabs>
          <w:tab w:val="left" w:pos="-720"/>
          <w:tab w:val="right" w:pos="8640"/>
        </w:tabs>
        <w:ind w:left="0" w:right="720" w:firstLine="0"/>
        <w:rPr>
          <w:b/>
          <w:bCs/>
        </w:rPr>
      </w:pPr>
      <w:r>
        <w:rPr>
          <w:b/>
          <w:bCs/>
        </w:rPr>
        <w:t xml:space="preserve">Telemetry </w:t>
      </w:r>
    </w:p>
    <w:p w:rsidR="00000000" w:rsidRDefault="00D93457">
      <w:pPr>
        <w:pStyle w:val="BodyTextIndent"/>
        <w:tabs>
          <w:tab w:val="left" w:pos="-720"/>
          <w:tab w:val="right" w:pos="8640"/>
        </w:tabs>
        <w:ind w:left="0" w:right="720"/>
      </w:pPr>
      <w:r>
        <w:t xml:space="preserve">Releases of radio tagged kelts were conducted as proportionally as possible to the overall </w:t>
      </w:r>
      <w:proofErr w:type="gramStart"/>
      <w:r>
        <w:t>kelt</w:t>
      </w:r>
      <w:proofErr w:type="gramEnd"/>
      <w:r>
        <w:t xml:space="preserve"> run</w:t>
      </w:r>
      <w:r>
        <w:t>.  Radio tags were attached to 212 kelts (McN n = 53; JDD n =159).  Of the 212 radio tagged kelts six were in poor condition, 52 were in fair condition, and 154 of the kelts were in good condition (Table 6).  A summary of the morpho-metric information from</w:t>
      </w:r>
      <w:r>
        <w:t xml:space="preserve"> collected kelts can be observed in Appendix B.  </w:t>
      </w:r>
    </w:p>
    <w:p w:rsidR="00000000" w:rsidRDefault="00D93457">
      <w:pPr>
        <w:pStyle w:val="BodyTextIndent"/>
        <w:tabs>
          <w:tab w:val="left" w:pos="-720"/>
          <w:tab w:val="right" w:pos="8640"/>
        </w:tabs>
        <w:ind w:left="0" w:right="720"/>
      </w:pPr>
    </w:p>
    <w:p w:rsidR="00000000" w:rsidRDefault="00D93457">
      <w:pPr>
        <w:pStyle w:val="PlainText"/>
        <w:rPr>
          <w:rFonts w:ascii="Arial" w:hAnsi="Arial" w:cs="Arial"/>
        </w:rPr>
      </w:pPr>
      <w:proofErr w:type="gramStart"/>
      <w:r>
        <w:rPr>
          <w:rFonts w:ascii="Arial" w:hAnsi="Arial" w:cs="Arial"/>
        </w:rPr>
        <w:t>Table 6.</w:t>
      </w:r>
      <w:proofErr w:type="gramEnd"/>
      <w:r>
        <w:rPr>
          <w:rFonts w:ascii="Arial" w:hAnsi="Arial" w:cs="Arial"/>
        </w:rPr>
        <w:t xml:space="preserve">  </w:t>
      </w:r>
      <w:proofErr w:type="gramStart"/>
      <w:r>
        <w:rPr>
          <w:rFonts w:ascii="Arial" w:hAnsi="Arial" w:cs="Arial"/>
        </w:rPr>
        <w:t>Proportion of steelhead kelts radio-tagged in good, fair, or poor condition at John Day and McNary dams.</w:t>
      </w:r>
      <w:proofErr w:type="gramEnd"/>
    </w:p>
    <w:tbl>
      <w:tblPr>
        <w:tblW w:w="8640" w:type="dxa"/>
        <w:tblInd w:w="15" w:type="dxa"/>
        <w:tblLayout w:type="fixed"/>
        <w:tblCellMar>
          <w:left w:w="0" w:type="dxa"/>
          <w:right w:w="0" w:type="dxa"/>
        </w:tblCellMar>
        <w:tblLook w:val="0000"/>
      </w:tblPr>
      <w:tblGrid>
        <w:gridCol w:w="2148"/>
        <w:gridCol w:w="2164"/>
        <w:gridCol w:w="2164"/>
        <w:gridCol w:w="2164"/>
      </w:tblGrid>
      <w:tr w:rsidR="00000000">
        <w:trPr>
          <w:trHeight w:val="255"/>
        </w:trPr>
        <w:tc>
          <w:tcPr>
            <w:tcW w:w="2148" w:type="dxa"/>
            <w:tcBorders>
              <w:top w:val="single" w:sz="4" w:space="0" w:color="auto"/>
              <w:bottom w:val="double" w:sz="4" w:space="0" w:color="auto"/>
            </w:tcBorders>
            <w:noWrap/>
            <w:tcMar>
              <w:top w:w="15" w:type="dxa"/>
              <w:left w:w="15" w:type="dxa"/>
              <w:bottom w:w="0" w:type="dxa"/>
              <w:right w:w="15" w:type="dxa"/>
            </w:tcMar>
            <w:vAlign w:val="bottom"/>
          </w:tcPr>
          <w:p w:rsidR="00000000" w:rsidRDefault="00D93457">
            <w:pPr>
              <w:rPr>
                <w:rFonts w:ascii="Arial" w:hAnsi="Arial"/>
                <w:b/>
                <w:bCs/>
                <w:sz w:val="20"/>
                <w:szCs w:val="20"/>
              </w:rPr>
            </w:pPr>
            <w:r>
              <w:rPr>
                <w:rFonts w:ascii="Arial" w:hAnsi="Arial"/>
                <w:b/>
                <w:bCs/>
                <w:sz w:val="20"/>
                <w:szCs w:val="20"/>
              </w:rPr>
              <w:t>Condition (n = 212)</w:t>
            </w:r>
          </w:p>
        </w:tc>
        <w:tc>
          <w:tcPr>
            <w:tcW w:w="2164" w:type="dxa"/>
            <w:tcBorders>
              <w:top w:val="single" w:sz="4" w:space="0" w:color="auto"/>
              <w:bottom w:val="double" w:sz="4" w:space="0" w:color="auto"/>
            </w:tcBorders>
            <w:noWrap/>
            <w:tcMar>
              <w:top w:w="15" w:type="dxa"/>
              <w:left w:w="15" w:type="dxa"/>
              <w:bottom w:w="0" w:type="dxa"/>
              <w:right w:w="15" w:type="dxa"/>
            </w:tcMar>
            <w:vAlign w:val="bottom"/>
          </w:tcPr>
          <w:p w:rsidR="00000000" w:rsidRDefault="00D93457">
            <w:pPr>
              <w:jc w:val="center"/>
              <w:rPr>
                <w:rFonts w:ascii="Arial" w:hAnsi="Arial"/>
                <w:b/>
                <w:bCs/>
                <w:sz w:val="20"/>
                <w:szCs w:val="20"/>
              </w:rPr>
            </w:pPr>
            <w:r>
              <w:rPr>
                <w:rFonts w:ascii="Arial" w:hAnsi="Arial"/>
                <w:b/>
                <w:bCs/>
                <w:sz w:val="20"/>
                <w:szCs w:val="20"/>
              </w:rPr>
              <w:t>John Day</w:t>
            </w:r>
          </w:p>
        </w:tc>
        <w:tc>
          <w:tcPr>
            <w:tcW w:w="2164" w:type="dxa"/>
            <w:tcBorders>
              <w:top w:val="single" w:sz="4" w:space="0" w:color="auto"/>
              <w:bottom w:val="double" w:sz="4" w:space="0" w:color="auto"/>
            </w:tcBorders>
            <w:noWrap/>
            <w:tcMar>
              <w:top w:w="15" w:type="dxa"/>
              <w:left w:w="15" w:type="dxa"/>
              <w:bottom w:w="0" w:type="dxa"/>
              <w:right w:w="15" w:type="dxa"/>
            </w:tcMar>
            <w:vAlign w:val="bottom"/>
          </w:tcPr>
          <w:p w:rsidR="00000000" w:rsidRDefault="00D93457">
            <w:pPr>
              <w:jc w:val="center"/>
              <w:rPr>
                <w:rFonts w:ascii="Arial" w:hAnsi="Arial"/>
                <w:b/>
                <w:bCs/>
                <w:sz w:val="20"/>
                <w:szCs w:val="20"/>
              </w:rPr>
            </w:pPr>
            <w:r>
              <w:rPr>
                <w:rFonts w:ascii="Arial" w:hAnsi="Arial"/>
                <w:b/>
                <w:bCs/>
                <w:sz w:val="20"/>
                <w:szCs w:val="20"/>
              </w:rPr>
              <w:t>McNary</w:t>
            </w:r>
          </w:p>
        </w:tc>
        <w:tc>
          <w:tcPr>
            <w:tcW w:w="2164" w:type="dxa"/>
            <w:tcBorders>
              <w:top w:val="single" w:sz="4" w:space="0" w:color="auto"/>
              <w:bottom w:val="double" w:sz="4" w:space="0" w:color="auto"/>
            </w:tcBorders>
            <w:noWrap/>
            <w:tcMar>
              <w:top w:w="15" w:type="dxa"/>
              <w:left w:w="15" w:type="dxa"/>
              <w:bottom w:w="0" w:type="dxa"/>
              <w:right w:w="15" w:type="dxa"/>
            </w:tcMar>
            <w:vAlign w:val="bottom"/>
          </w:tcPr>
          <w:p w:rsidR="00000000" w:rsidRDefault="00D93457">
            <w:pPr>
              <w:jc w:val="center"/>
              <w:rPr>
                <w:rFonts w:ascii="Arial" w:hAnsi="Arial"/>
                <w:b/>
                <w:bCs/>
                <w:sz w:val="20"/>
                <w:szCs w:val="20"/>
              </w:rPr>
            </w:pPr>
            <w:r>
              <w:rPr>
                <w:rFonts w:ascii="Arial" w:hAnsi="Arial"/>
                <w:b/>
                <w:bCs/>
                <w:sz w:val="20"/>
                <w:szCs w:val="20"/>
              </w:rPr>
              <w:t>Total</w:t>
            </w:r>
          </w:p>
        </w:tc>
      </w:tr>
      <w:tr w:rsidR="00000000">
        <w:trPr>
          <w:cantSplit/>
          <w:trHeight w:val="255"/>
        </w:trPr>
        <w:tc>
          <w:tcPr>
            <w:tcW w:w="2148" w:type="dxa"/>
            <w:tcBorders>
              <w:top w:val="double" w:sz="4" w:space="0" w:color="auto"/>
            </w:tcBorders>
            <w:shd w:val="clear" w:color="auto" w:fill="FFFFFF"/>
            <w:noWrap/>
            <w:tcMar>
              <w:top w:w="15" w:type="dxa"/>
              <w:left w:w="15" w:type="dxa"/>
              <w:bottom w:w="0" w:type="dxa"/>
              <w:right w:w="15" w:type="dxa"/>
            </w:tcMar>
            <w:vAlign w:val="bottom"/>
          </w:tcPr>
          <w:p w:rsidR="00000000" w:rsidRDefault="00D93457">
            <w:pPr>
              <w:pStyle w:val="Heading5"/>
              <w:jc w:val="left"/>
              <w:rPr>
                <w:rFonts w:ascii="Arial" w:hAnsi="Arial"/>
                <w:b w:val="0"/>
                <w:szCs w:val="20"/>
              </w:rPr>
            </w:pPr>
            <w:r>
              <w:rPr>
                <w:rFonts w:ascii="Arial" w:hAnsi="Arial"/>
                <w:b w:val="0"/>
                <w:szCs w:val="20"/>
              </w:rPr>
              <w:t>Good</w:t>
            </w:r>
          </w:p>
        </w:tc>
        <w:tc>
          <w:tcPr>
            <w:tcW w:w="2164" w:type="dxa"/>
            <w:tcBorders>
              <w:top w:val="doub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112 (52.8%)</w:t>
            </w:r>
          </w:p>
        </w:tc>
        <w:tc>
          <w:tcPr>
            <w:tcW w:w="2164" w:type="dxa"/>
            <w:tcBorders>
              <w:top w:val="doub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42 (19.8%)</w:t>
            </w:r>
          </w:p>
        </w:tc>
        <w:tc>
          <w:tcPr>
            <w:tcW w:w="2164" w:type="dxa"/>
            <w:tcBorders>
              <w:top w:val="double" w:sz="4" w:space="0" w:color="auto"/>
            </w:tcBorders>
            <w:noWrap/>
            <w:tcMar>
              <w:top w:w="15" w:type="dxa"/>
              <w:left w:w="15" w:type="dxa"/>
              <w:bottom w:w="0" w:type="dxa"/>
              <w:right w:w="15" w:type="dxa"/>
            </w:tcMar>
            <w:vAlign w:val="center"/>
          </w:tcPr>
          <w:p w:rsidR="00000000" w:rsidRDefault="00D93457">
            <w:pPr>
              <w:jc w:val="center"/>
              <w:rPr>
                <w:rFonts w:ascii="Arial" w:hAnsi="Arial"/>
                <w:sz w:val="20"/>
                <w:szCs w:val="20"/>
              </w:rPr>
            </w:pPr>
            <w:r>
              <w:rPr>
                <w:rFonts w:ascii="Arial" w:hAnsi="Arial"/>
                <w:sz w:val="20"/>
                <w:szCs w:val="20"/>
              </w:rPr>
              <w:t>154 (72.6%)</w:t>
            </w:r>
          </w:p>
        </w:tc>
      </w:tr>
      <w:tr w:rsidR="00000000">
        <w:trPr>
          <w:cantSplit/>
          <w:trHeight w:val="255"/>
        </w:trPr>
        <w:tc>
          <w:tcPr>
            <w:tcW w:w="2148" w:type="dxa"/>
            <w:shd w:val="clear" w:color="auto" w:fill="FFFFFF"/>
            <w:noWrap/>
            <w:tcMar>
              <w:top w:w="15" w:type="dxa"/>
              <w:left w:w="15" w:type="dxa"/>
              <w:bottom w:w="0" w:type="dxa"/>
              <w:right w:w="15" w:type="dxa"/>
            </w:tcMar>
            <w:vAlign w:val="bottom"/>
          </w:tcPr>
          <w:p w:rsidR="00000000" w:rsidRDefault="00D93457">
            <w:pPr>
              <w:rPr>
                <w:rFonts w:ascii="Arial" w:hAnsi="Arial"/>
                <w:sz w:val="20"/>
                <w:szCs w:val="20"/>
              </w:rPr>
            </w:pPr>
            <w:r>
              <w:rPr>
                <w:rFonts w:ascii="Arial" w:hAnsi="Arial"/>
                <w:sz w:val="20"/>
                <w:szCs w:val="20"/>
              </w:rPr>
              <w:t>Fair</w:t>
            </w:r>
          </w:p>
        </w:tc>
        <w:tc>
          <w:tcPr>
            <w:tcW w:w="2164" w:type="dxa"/>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4</w:t>
            </w:r>
            <w:r>
              <w:rPr>
                <w:rFonts w:ascii="Arial" w:hAnsi="Arial"/>
                <w:sz w:val="20"/>
                <w:szCs w:val="20"/>
              </w:rPr>
              <w:t>2 (19.8%)</w:t>
            </w:r>
          </w:p>
        </w:tc>
        <w:tc>
          <w:tcPr>
            <w:tcW w:w="2164" w:type="dxa"/>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10(4.7%)</w:t>
            </w:r>
          </w:p>
        </w:tc>
        <w:tc>
          <w:tcPr>
            <w:tcW w:w="2164" w:type="dxa"/>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52 (24.5%)</w:t>
            </w:r>
          </w:p>
        </w:tc>
      </w:tr>
      <w:tr w:rsidR="00000000">
        <w:trPr>
          <w:trHeight w:val="270"/>
        </w:trPr>
        <w:tc>
          <w:tcPr>
            <w:tcW w:w="2148" w:type="dxa"/>
            <w:tcBorders>
              <w:bottom w:val="single" w:sz="4" w:space="0" w:color="auto"/>
            </w:tcBorders>
            <w:shd w:val="clear" w:color="auto" w:fill="FFFFFF"/>
            <w:noWrap/>
            <w:tcMar>
              <w:top w:w="15" w:type="dxa"/>
              <w:left w:w="15" w:type="dxa"/>
              <w:bottom w:w="0" w:type="dxa"/>
              <w:right w:w="15" w:type="dxa"/>
            </w:tcMar>
            <w:vAlign w:val="bottom"/>
          </w:tcPr>
          <w:p w:rsidR="00000000" w:rsidRDefault="00D93457">
            <w:pPr>
              <w:rPr>
                <w:rFonts w:ascii="Arial" w:hAnsi="Arial"/>
                <w:sz w:val="20"/>
                <w:szCs w:val="20"/>
              </w:rPr>
            </w:pPr>
            <w:r>
              <w:rPr>
                <w:rFonts w:ascii="Arial" w:hAnsi="Arial"/>
                <w:sz w:val="20"/>
                <w:szCs w:val="20"/>
              </w:rPr>
              <w:t>Poor</w:t>
            </w:r>
          </w:p>
        </w:tc>
        <w:tc>
          <w:tcPr>
            <w:tcW w:w="2164" w:type="dxa"/>
            <w:tcBorders>
              <w:bottom w:val="sing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5 (2.4%)</w:t>
            </w:r>
          </w:p>
        </w:tc>
        <w:tc>
          <w:tcPr>
            <w:tcW w:w="2164" w:type="dxa"/>
            <w:tcBorders>
              <w:top w:val="nil"/>
              <w:bottom w:val="sing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1 (0.5%)</w:t>
            </w:r>
          </w:p>
        </w:tc>
        <w:tc>
          <w:tcPr>
            <w:tcW w:w="2164" w:type="dxa"/>
            <w:tcBorders>
              <w:bottom w:val="sing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6 (2.9%)</w:t>
            </w:r>
          </w:p>
        </w:tc>
      </w:tr>
      <w:tr w:rsidR="00000000">
        <w:trPr>
          <w:trHeight w:val="270"/>
        </w:trPr>
        <w:tc>
          <w:tcPr>
            <w:tcW w:w="2148" w:type="dxa"/>
            <w:tcBorders>
              <w:top w:val="single" w:sz="4" w:space="0" w:color="auto"/>
              <w:bottom w:val="single" w:sz="4" w:space="0" w:color="auto"/>
            </w:tcBorders>
            <w:noWrap/>
            <w:tcMar>
              <w:top w:w="15" w:type="dxa"/>
              <w:left w:w="15" w:type="dxa"/>
              <w:bottom w:w="0" w:type="dxa"/>
              <w:right w:w="15" w:type="dxa"/>
            </w:tcMar>
            <w:vAlign w:val="bottom"/>
          </w:tcPr>
          <w:p w:rsidR="00000000" w:rsidRDefault="00D93457">
            <w:pPr>
              <w:rPr>
                <w:rFonts w:ascii="Arial" w:hAnsi="Arial"/>
                <w:b/>
                <w:bCs/>
                <w:sz w:val="20"/>
                <w:szCs w:val="20"/>
              </w:rPr>
            </w:pPr>
            <w:r>
              <w:rPr>
                <w:rFonts w:ascii="Arial" w:hAnsi="Arial"/>
                <w:b/>
                <w:bCs/>
                <w:sz w:val="20"/>
                <w:szCs w:val="20"/>
              </w:rPr>
              <w:t>Total</w:t>
            </w:r>
          </w:p>
        </w:tc>
        <w:tc>
          <w:tcPr>
            <w:tcW w:w="2164" w:type="dxa"/>
            <w:tcBorders>
              <w:top w:val="single" w:sz="4" w:space="0" w:color="auto"/>
              <w:bottom w:val="sing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159 (75%)</w:t>
            </w:r>
          </w:p>
        </w:tc>
        <w:tc>
          <w:tcPr>
            <w:tcW w:w="2164" w:type="dxa"/>
            <w:tcBorders>
              <w:top w:val="single" w:sz="4" w:space="0" w:color="auto"/>
              <w:bottom w:val="sing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53 (25%)</w:t>
            </w:r>
          </w:p>
        </w:tc>
        <w:tc>
          <w:tcPr>
            <w:tcW w:w="2164" w:type="dxa"/>
            <w:tcBorders>
              <w:top w:val="single" w:sz="4" w:space="0" w:color="auto"/>
              <w:bottom w:val="single" w:sz="4" w:space="0" w:color="auto"/>
            </w:tcBorders>
            <w:noWrap/>
            <w:tcMar>
              <w:top w:w="15" w:type="dxa"/>
              <w:left w:w="15" w:type="dxa"/>
              <w:bottom w:w="0" w:type="dxa"/>
              <w:right w:w="15" w:type="dxa"/>
            </w:tcMar>
            <w:vAlign w:val="bottom"/>
          </w:tcPr>
          <w:p w:rsidR="00000000" w:rsidRDefault="00D93457">
            <w:pPr>
              <w:jc w:val="center"/>
              <w:rPr>
                <w:rFonts w:ascii="Arial" w:hAnsi="Arial"/>
                <w:sz w:val="20"/>
                <w:szCs w:val="20"/>
              </w:rPr>
            </w:pPr>
            <w:r>
              <w:rPr>
                <w:rFonts w:ascii="Arial" w:hAnsi="Arial"/>
                <w:sz w:val="20"/>
                <w:szCs w:val="20"/>
              </w:rPr>
              <w:t>212 (100%)</w:t>
            </w:r>
          </w:p>
        </w:tc>
      </w:tr>
    </w:tbl>
    <w:p w:rsidR="00000000" w:rsidRDefault="00D93457">
      <w:pPr>
        <w:pStyle w:val="BodyTextIndent"/>
        <w:ind w:left="0" w:firstLine="0"/>
        <w:jc w:val="both"/>
        <w:rPr>
          <w:b/>
        </w:rPr>
      </w:pPr>
    </w:p>
    <w:p w:rsidR="00000000" w:rsidRDefault="00D93457">
      <w:pPr>
        <w:pStyle w:val="BodyTextIndent"/>
        <w:ind w:left="0" w:firstLine="0"/>
        <w:jc w:val="both"/>
        <w:rPr>
          <w:b/>
        </w:rPr>
      </w:pPr>
      <w:r>
        <w:rPr>
          <w:b/>
        </w:rPr>
        <w:t xml:space="preserve">Travel rates </w:t>
      </w:r>
    </w:p>
    <w:p w:rsidR="00000000" w:rsidRDefault="00D93457">
      <w:pPr>
        <w:pStyle w:val="BodyTextIndent"/>
        <w:ind w:left="0"/>
        <w:rPr>
          <w:bCs/>
        </w:rPr>
      </w:pPr>
      <w:r>
        <w:rPr>
          <w:bCs/>
        </w:rPr>
        <w:t xml:space="preserve">Travel rate data are based upon the 212 released kelts; these data are influenced by the number of individual kelts from each release group </w:t>
      </w:r>
      <w:r>
        <w:rPr>
          <w:bCs/>
        </w:rPr>
        <w:t>(Appendix B) subsequently contacted by fixed telemetry sites.  Kelts must have been contacted by arrays in the tailrace from the dam in which they passed, and contacted in the subsequent forebay for travel times to be calculated.  Thus, travel times throug</w:t>
      </w:r>
      <w:r>
        <w:rPr>
          <w:bCs/>
        </w:rPr>
        <w:t>h the river-reaches are often based upon sample sizes smaller than the full number of kelts passing each dam.  Travel times for the released groups of kelts, through the I-205 Bridge are depicted below (Table 7).</w:t>
      </w:r>
    </w:p>
    <w:p w:rsidR="00000000" w:rsidRDefault="00D93457">
      <w:pPr>
        <w:pStyle w:val="BodyTextIndent"/>
        <w:ind w:left="0" w:firstLine="0"/>
        <w:jc w:val="both"/>
        <w:rPr>
          <w:rFonts w:ascii="Arial" w:hAnsi="Arial" w:cs="Arial"/>
          <w:bCs/>
          <w:sz w:val="20"/>
        </w:rPr>
      </w:pPr>
    </w:p>
    <w:p w:rsidR="00000000" w:rsidRDefault="00D93457">
      <w:pPr>
        <w:pStyle w:val="BodyTextIndent"/>
        <w:ind w:left="0" w:firstLine="0"/>
        <w:jc w:val="both"/>
        <w:rPr>
          <w:rFonts w:ascii="Arial" w:hAnsi="Arial" w:cs="Arial"/>
          <w:bCs/>
          <w:sz w:val="20"/>
        </w:rPr>
      </w:pPr>
    </w:p>
    <w:p w:rsidR="00000000" w:rsidRDefault="00D93457">
      <w:pPr>
        <w:pStyle w:val="BodyTextIndent"/>
        <w:ind w:left="0" w:firstLine="0"/>
        <w:jc w:val="both"/>
        <w:rPr>
          <w:rFonts w:ascii="Arial" w:hAnsi="Arial" w:cs="Arial"/>
          <w:bCs/>
          <w:sz w:val="20"/>
        </w:rPr>
      </w:pPr>
    </w:p>
    <w:p w:rsidR="00000000" w:rsidRDefault="00D93457">
      <w:pPr>
        <w:pStyle w:val="BodyTextIndent"/>
        <w:ind w:left="0" w:firstLine="0"/>
        <w:jc w:val="both"/>
        <w:rPr>
          <w:rFonts w:ascii="Arial" w:hAnsi="Arial" w:cs="Arial"/>
          <w:bCs/>
          <w:sz w:val="20"/>
        </w:rPr>
      </w:pPr>
      <w:proofErr w:type="gramStart"/>
      <w:r>
        <w:rPr>
          <w:rFonts w:ascii="Arial" w:hAnsi="Arial" w:cs="Arial"/>
          <w:bCs/>
          <w:sz w:val="20"/>
        </w:rPr>
        <w:lastRenderedPageBreak/>
        <w:t>Table 7.</w:t>
      </w:r>
      <w:proofErr w:type="gramEnd"/>
      <w:r>
        <w:rPr>
          <w:rFonts w:ascii="Arial" w:hAnsi="Arial" w:cs="Arial"/>
          <w:bCs/>
          <w:sz w:val="20"/>
        </w:rPr>
        <w:t xml:space="preserve">  Travel times (hh:mm) of the th</w:t>
      </w:r>
      <w:r>
        <w:rPr>
          <w:rFonts w:ascii="Arial" w:hAnsi="Arial" w:cs="Arial"/>
          <w:bCs/>
          <w:sz w:val="20"/>
        </w:rPr>
        <w:t>ree kelt groups through the pools between the lower Columbia River dams to the survival gates at I-205 bridge.</w:t>
      </w:r>
    </w:p>
    <w:tbl>
      <w:tblPr>
        <w:tblW w:w="8748" w:type="dxa"/>
        <w:tblBorders>
          <w:top w:val="single" w:sz="4" w:space="0" w:color="auto"/>
          <w:bottom w:val="single" w:sz="4" w:space="0" w:color="auto"/>
        </w:tblBorders>
        <w:tblLayout w:type="fixed"/>
        <w:tblLook w:val="0000"/>
      </w:tblPr>
      <w:tblGrid>
        <w:gridCol w:w="2628"/>
        <w:gridCol w:w="1224"/>
        <w:gridCol w:w="1224"/>
        <w:gridCol w:w="1224"/>
        <w:gridCol w:w="1224"/>
        <w:gridCol w:w="1224"/>
      </w:tblGrid>
      <w:tr w:rsidR="00000000">
        <w:tblPrEx>
          <w:tblCellMar>
            <w:top w:w="0" w:type="dxa"/>
            <w:bottom w:w="0" w:type="dxa"/>
          </w:tblCellMar>
        </w:tblPrEx>
        <w:trPr>
          <w:trHeight w:val="305"/>
        </w:trPr>
        <w:tc>
          <w:tcPr>
            <w:tcW w:w="2628" w:type="dxa"/>
            <w:vAlign w:val="bottom"/>
          </w:tcPr>
          <w:p w:rsidR="00000000" w:rsidRDefault="00D93457">
            <w:pPr>
              <w:rPr>
                <w:rFonts w:ascii="Arial" w:hAnsi="Arial" w:cs="Arial"/>
                <w:b/>
                <w:bCs/>
                <w:iCs/>
                <w:sz w:val="20"/>
              </w:rPr>
            </w:pPr>
            <w:r>
              <w:rPr>
                <w:rFonts w:ascii="Arial" w:hAnsi="Arial" w:cs="Arial"/>
                <w:b/>
                <w:bCs/>
                <w:iCs/>
                <w:sz w:val="20"/>
              </w:rPr>
              <w:t>Travel rates (hh:mm)</w:t>
            </w:r>
          </w:p>
        </w:tc>
        <w:tc>
          <w:tcPr>
            <w:tcW w:w="1224" w:type="dxa"/>
            <w:vAlign w:val="bottom"/>
          </w:tcPr>
          <w:p w:rsidR="00000000" w:rsidRDefault="00D93457">
            <w:pPr>
              <w:jc w:val="center"/>
              <w:rPr>
                <w:rFonts w:ascii="Arial" w:hAnsi="Arial" w:cs="Arial"/>
                <w:b/>
                <w:bCs/>
                <w:sz w:val="18"/>
              </w:rPr>
            </w:pPr>
            <w:r>
              <w:rPr>
                <w:rFonts w:ascii="Arial" w:hAnsi="Arial" w:cs="Arial"/>
                <w:b/>
                <w:bCs/>
                <w:sz w:val="18"/>
              </w:rPr>
              <w:t>n</w:t>
            </w:r>
          </w:p>
        </w:tc>
        <w:tc>
          <w:tcPr>
            <w:tcW w:w="1224" w:type="dxa"/>
            <w:vAlign w:val="bottom"/>
          </w:tcPr>
          <w:p w:rsidR="00000000" w:rsidRDefault="00D93457">
            <w:pPr>
              <w:jc w:val="center"/>
              <w:rPr>
                <w:rFonts w:ascii="Arial" w:hAnsi="Arial" w:cs="Arial"/>
                <w:b/>
                <w:bCs/>
                <w:sz w:val="18"/>
              </w:rPr>
            </w:pPr>
            <w:r>
              <w:rPr>
                <w:rFonts w:ascii="Arial" w:hAnsi="Arial" w:cs="Arial"/>
                <w:b/>
                <w:bCs/>
                <w:sz w:val="18"/>
              </w:rPr>
              <w:t>Mean</w:t>
            </w:r>
          </w:p>
        </w:tc>
        <w:tc>
          <w:tcPr>
            <w:tcW w:w="1224" w:type="dxa"/>
            <w:vAlign w:val="bottom"/>
          </w:tcPr>
          <w:p w:rsidR="00000000" w:rsidRDefault="00D93457">
            <w:pPr>
              <w:jc w:val="center"/>
              <w:rPr>
                <w:rFonts w:ascii="Arial" w:hAnsi="Arial" w:cs="Arial"/>
                <w:b/>
                <w:bCs/>
                <w:sz w:val="18"/>
              </w:rPr>
            </w:pPr>
            <w:r>
              <w:rPr>
                <w:rFonts w:ascii="Arial" w:hAnsi="Arial" w:cs="Arial"/>
                <w:b/>
                <w:bCs/>
                <w:sz w:val="18"/>
              </w:rPr>
              <w:t>Median</w:t>
            </w:r>
          </w:p>
        </w:tc>
        <w:tc>
          <w:tcPr>
            <w:tcW w:w="1224" w:type="dxa"/>
            <w:vAlign w:val="bottom"/>
          </w:tcPr>
          <w:p w:rsidR="00000000" w:rsidRDefault="00D93457">
            <w:pPr>
              <w:jc w:val="center"/>
              <w:rPr>
                <w:rFonts w:ascii="Arial" w:hAnsi="Arial" w:cs="Arial"/>
                <w:b/>
                <w:bCs/>
                <w:sz w:val="18"/>
              </w:rPr>
            </w:pPr>
            <w:r>
              <w:rPr>
                <w:rFonts w:ascii="Arial" w:hAnsi="Arial" w:cs="Arial"/>
                <w:b/>
                <w:bCs/>
                <w:sz w:val="18"/>
              </w:rPr>
              <w:t>Min</w:t>
            </w:r>
          </w:p>
        </w:tc>
        <w:tc>
          <w:tcPr>
            <w:tcW w:w="1224" w:type="dxa"/>
            <w:vAlign w:val="bottom"/>
          </w:tcPr>
          <w:p w:rsidR="00000000" w:rsidRDefault="00D93457">
            <w:pPr>
              <w:ind w:left="-72"/>
              <w:jc w:val="center"/>
              <w:rPr>
                <w:rFonts w:ascii="Arial" w:hAnsi="Arial" w:cs="Arial"/>
                <w:b/>
                <w:bCs/>
                <w:sz w:val="18"/>
              </w:rPr>
            </w:pPr>
            <w:r>
              <w:rPr>
                <w:rFonts w:ascii="Arial" w:hAnsi="Arial" w:cs="Arial"/>
                <w:b/>
                <w:bCs/>
                <w:sz w:val="18"/>
              </w:rPr>
              <w:t>Max</w:t>
            </w:r>
          </w:p>
        </w:tc>
      </w:tr>
      <w:tr w:rsidR="00000000">
        <w:tblPrEx>
          <w:tblCellMar>
            <w:top w:w="0" w:type="dxa"/>
            <w:bottom w:w="0" w:type="dxa"/>
          </w:tblCellMar>
        </w:tblPrEx>
        <w:trPr>
          <w:trHeight w:val="360"/>
        </w:trPr>
        <w:tc>
          <w:tcPr>
            <w:tcW w:w="2628" w:type="dxa"/>
            <w:vAlign w:val="center"/>
          </w:tcPr>
          <w:p w:rsidR="00000000" w:rsidRDefault="00D93457">
            <w:pPr>
              <w:pStyle w:val="CommentText"/>
              <w:rPr>
                <w:rFonts w:ascii="Arial" w:hAnsi="Arial" w:cs="Arial"/>
                <w:b/>
                <w:bCs/>
                <w:sz w:val="16"/>
                <w:szCs w:val="24"/>
                <w:u w:val="single"/>
              </w:rPr>
            </w:pPr>
          </w:p>
          <w:p w:rsidR="00000000" w:rsidRDefault="00D93457">
            <w:pPr>
              <w:pStyle w:val="CommentText"/>
              <w:rPr>
                <w:rFonts w:ascii="Arial" w:hAnsi="Arial" w:cs="Arial"/>
                <w:b/>
                <w:bCs/>
                <w:szCs w:val="24"/>
                <w:u w:val="single"/>
              </w:rPr>
            </w:pPr>
            <w:r>
              <w:rPr>
                <w:rFonts w:ascii="Arial" w:hAnsi="Arial" w:cs="Arial"/>
                <w:b/>
                <w:bCs/>
                <w:szCs w:val="24"/>
                <w:u w:val="single"/>
              </w:rPr>
              <w:t>Lower Granite Kelts</w:t>
            </w: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r>
      <w:tr w:rsidR="00000000">
        <w:tblPrEx>
          <w:tblCellMar>
            <w:top w:w="0" w:type="dxa"/>
            <w:bottom w:w="0" w:type="dxa"/>
          </w:tblCellMar>
        </w:tblPrEx>
        <w:trPr>
          <w:cantSplit/>
          <w:trHeight w:val="288"/>
        </w:trPr>
        <w:tc>
          <w:tcPr>
            <w:tcW w:w="2628" w:type="dxa"/>
            <w:vAlign w:val="center"/>
          </w:tcPr>
          <w:p w:rsidR="00000000" w:rsidRDefault="00D93457">
            <w:pPr>
              <w:rPr>
                <w:rFonts w:ascii="Arial" w:hAnsi="Arial" w:cs="Arial"/>
                <w:sz w:val="20"/>
              </w:rPr>
            </w:pPr>
            <w:r>
              <w:rPr>
                <w:rFonts w:ascii="Arial" w:hAnsi="Arial" w:cs="Arial"/>
                <w:sz w:val="20"/>
              </w:rPr>
              <w:t>The Dalles Pool</w:t>
            </w:r>
          </w:p>
        </w:tc>
        <w:tc>
          <w:tcPr>
            <w:tcW w:w="1224" w:type="dxa"/>
            <w:vAlign w:val="center"/>
          </w:tcPr>
          <w:p w:rsidR="00000000" w:rsidRDefault="00D93457">
            <w:pPr>
              <w:jc w:val="center"/>
              <w:rPr>
                <w:rFonts w:ascii="Arial" w:hAnsi="Arial" w:cs="Arial"/>
                <w:sz w:val="18"/>
              </w:rPr>
            </w:pPr>
            <w:r>
              <w:rPr>
                <w:rFonts w:ascii="Arial" w:hAnsi="Arial" w:cs="Arial"/>
                <w:sz w:val="18"/>
              </w:rPr>
              <w:t>14</w:t>
            </w:r>
          </w:p>
        </w:tc>
        <w:tc>
          <w:tcPr>
            <w:tcW w:w="1224" w:type="dxa"/>
            <w:vAlign w:val="center"/>
          </w:tcPr>
          <w:p w:rsidR="00000000" w:rsidRDefault="00D93457">
            <w:pPr>
              <w:jc w:val="center"/>
              <w:rPr>
                <w:rFonts w:ascii="Arial" w:hAnsi="Arial" w:cs="Arial"/>
                <w:sz w:val="18"/>
              </w:rPr>
            </w:pPr>
            <w:r>
              <w:rPr>
                <w:rFonts w:ascii="Arial" w:hAnsi="Arial" w:cs="Arial"/>
                <w:sz w:val="18"/>
              </w:rPr>
              <w:t>25:23</w:t>
            </w:r>
          </w:p>
        </w:tc>
        <w:tc>
          <w:tcPr>
            <w:tcW w:w="1224" w:type="dxa"/>
            <w:vAlign w:val="center"/>
          </w:tcPr>
          <w:p w:rsidR="00000000" w:rsidRDefault="00D93457">
            <w:pPr>
              <w:jc w:val="center"/>
              <w:rPr>
                <w:rFonts w:ascii="Arial" w:hAnsi="Arial" w:cs="Arial"/>
                <w:sz w:val="18"/>
              </w:rPr>
            </w:pPr>
            <w:r>
              <w:rPr>
                <w:rFonts w:ascii="Arial" w:hAnsi="Arial" w:cs="Arial"/>
                <w:sz w:val="18"/>
              </w:rPr>
              <w:t>12:53</w:t>
            </w:r>
          </w:p>
        </w:tc>
        <w:tc>
          <w:tcPr>
            <w:tcW w:w="1224" w:type="dxa"/>
            <w:vAlign w:val="center"/>
          </w:tcPr>
          <w:p w:rsidR="00000000" w:rsidRDefault="00D93457">
            <w:pPr>
              <w:jc w:val="center"/>
              <w:rPr>
                <w:rFonts w:ascii="Arial" w:hAnsi="Arial" w:cs="Arial"/>
                <w:sz w:val="18"/>
              </w:rPr>
            </w:pPr>
            <w:r>
              <w:rPr>
                <w:rFonts w:ascii="Arial" w:hAnsi="Arial" w:cs="Arial"/>
                <w:sz w:val="18"/>
              </w:rPr>
              <w:t>9:47</w:t>
            </w:r>
          </w:p>
        </w:tc>
        <w:tc>
          <w:tcPr>
            <w:tcW w:w="1224" w:type="dxa"/>
            <w:vAlign w:val="center"/>
          </w:tcPr>
          <w:p w:rsidR="00000000" w:rsidRDefault="00D93457">
            <w:pPr>
              <w:jc w:val="center"/>
              <w:rPr>
                <w:rFonts w:ascii="Arial" w:hAnsi="Arial" w:cs="Arial"/>
                <w:sz w:val="18"/>
              </w:rPr>
            </w:pPr>
            <w:r>
              <w:rPr>
                <w:rFonts w:ascii="Arial" w:hAnsi="Arial" w:cs="Arial"/>
                <w:sz w:val="18"/>
              </w:rPr>
              <w:t>185:08</w:t>
            </w:r>
          </w:p>
        </w:tc>
      </w:tr>
      <w:tr w:rsidR="00000000">
        <w:tblPrEx>
          <w:tblCellMar>
            <w:top w:w="0" w:type="dxa"/>
            <w:bottom w:w="0" w:type="dxa"/>
          </w:tblCellMar>
        </w:tblPrEx>
        <w:trPr>
          <w:cantSplit/>
          <w:trHeight w:val="278"/>
        </w:trPr>
        <w:tc>
          <w:tcPr>
            <w:tcW w:w="2628" w:type="dxa"/>
            <w:vAlign w:val="center"/>
          </w:tcPr>
          <w:p w:rsidR="00000000" w:rsidRDefault="00D93457">
            <w:pPr>
              <w:rPr>
                <w:rFonts w:ascii="Arial" w:hAnsi="Arial" w:cs="Arial"/>
                <w:sz w:val="20"/>
              </w:rPr>
            </w:pPr>
            <w:r>
              <w:rPr>
                <w:rFonts w:ascii="Arial" w:hAnsi="Arial" w:cs="Arial"/>
                <w:sz w:val="20"/>
              </w:rPr>
              <w:t>Bonneville Pool</w:t>
            </w:r>
          </w:p>
        </w:tc>
        <w:tc>
          <w:tcPr>
            <w:tcW w:w="1224" w:type="dxa"/>
            <w:vAlign w:val="center"/>
          </w:tcPr>
          <w:p w:rsidR="00000000" w:rsidRDefault="00D93457">
            <w:pPr>
              <w:jc w:val="center"/>
              <w:rPr>
                <w:rFonts w:ascii="Arial" w:hAnsi="Arial" w:cs="Arial"/>
                <w:sz w:val="18"/>
              </w:rPr>
            </w:pPr>
            <w:r>
              <w:rPr>
                <w:rFonts w:ascii="Arial" w:hAnsi="Arial" w:cs="Arial"/>
                <w:sz w:val="18"/>
              </w:rPr>
              <w:t>9</w:t>
            </w:r>
          </w:p>
        </w:tc>
        <w:tc>
          <w:tcPr>
            <w:tcW w:w="1224" w:type="dxa"/>
            <w:vAlign w:val="center"/>
          </w:tcPr>
          <w:p w:rsidR="00000000" w:rsidRDefault="00D93457">
            <w:pPr>
              <w:jc w:val="center"/>
              <w:rPr>
                <w:rFonts w:ascii="Arial" w:hAnsi="Arial" w:cs="Arial"/>
                <w:sz w:val="18"/>
              </w:rPr>
            </w:pPr>
            <w:r>
              <w:rPr>
                <w:rFonts w:ascii="Arial" w:hAnsi="Arial" w:cs="Arial"/>
                <w:sz w:val="18"/>
              </w:rPr>
              <w:t>31:31</w:t>
            </w:r>
          </w:p>
        </w:tc>
        <w:tc>
          <w:tcPr>
            <w:tcW w:w="1224" w:type="dxa"/>
            <w:vAlign w:val="center"/>
          </w:tcPr>
          <w:p w:rsidR="00000000" w:rsidRDefault="00D93457">
            <w:pPr>
              <w:jc w:val="center"/>
              <w:rPr>
                <w:rFonts w:ascii="Arial" w:hAnsi="Arial" w:cs="Arial"/>
                <w:sz w:val="18"/>
              </w:rPr>
            </w:pPr>
            <w:r>
              <w:rPr>
                <w:rFonts w:ascii="Arial" w:hAnsi="Arial" w:cs="Arial"/>
                <w:sz w:val="18"/>
              </w:rPr>
              <w:t>30:17</w:t>
            </w:r>
          </w:p>
        </w:tc>
        <w:tc>
          <w:tcPr>
            <w:tcW w:w="1224" w:type="dxa"/>
            <w:vAlign w:val="center"/>
          </w:tcPr>
          <w:p w:rsidR="00000000" w:rsidRDefault="00D93457">
            <w:pPr>
              <w:jc w:val="center"/>
              <w:rPr>
                <w:rFonts w:ascii="Arial" w:hAnsi="Arial" w:cs="Arial"/>
                <w:sz w:val="18"/>
              </w:rPr>
            </w:pPr>
            <w:r>
              <w:rPr>
                <w:rFonts w:ascii="Arial" w:hAnsi="Arial" w:cs="Arial"/>
                <w:sz w:val="18"/>
              </w:rPr>
              <w:t>22:07</w:t>
            </w:r>
          </w:p>
        </w:tc>
        <w:tc>
          <w:tcPr>
            <w:tcW w:w="1224" w:type="dxa"/>
            <w:vAlign w:val="center"/>
          </w:tcPr>
          <w:p w:rsidR="00000000" w:rsidRDefault="00D93457">
            <w:pPr>
              <w:jc w:val="center"/>
              <w:rPr>
                <w:rFonts w:ascii="Arial" w:hAnsi="Arial" w:cs="Arial"/>
                <w:sz w:val="18"/>
              </w:rPr>
            </w:pPr>
            <w:r>
              <w:rPr>
                <w:rFonts w:ascii="Arial" w:hAnsi="Arial" w:cs="Arial"/>
                <w:sz w:val="18"/>
              </w:rPr>
              <w:t>43:18</w:t>
            </w:r>
          </w:p>
        </w:tc>
      </w:tr>
      <w:tr w:rsidR="00000000">
        <w:tblPrEx>
          <w:tblCellMar>
            <w:top w:w="0" w:type="dxa"/>
            <w:bottom w:w="0" w:type="dxa"/>
          </w:tblCellMar>
        </w:tblPrEx>
        <w:trPr>
          <w:cantSplit/>
        </w:trPr>
        <w:tc>
          <w:tcPr>
            <w:tcW w:w="2628" w:type="dxa"/>
            <w:vAlign w:val="center"/>
          </w:tcPr>
          <w:p w:rsidR="00000000" w:rsidRDefault="00D93457">
            <w:pPr>
              <w:rPr>
                <w:rFonts w:ascii="Arial" w:hAnsi="Arial" w:cs="Arial"/>
                <w:sz w:val="20"/>
              </w:rPr>
            </w:pPr>
            <w:r>
              <w:rPr>
                <w:rFonts w:ascii="Arial" w:hAnsi="Arial" w:cs="Arial"/>
                <w:sz w:val="20"/>
              </w:rPr>
              <w:t>Passage time from 1/2BO</w:t>
            </w:r>
            <w:r>
              <w:rPr>
                <w:rStyle w:val="FootnoteReference"/>
                <w:rFonts w:ascii="Arial" w:hAnsi="Arial" w:cs="Arial"/>
                <w:sz w:val="20"/>
              </w:rPr>
              <w:footnoteReference w:id="8"/>
            </w:r>
            <w:r>
              <w:rPr>
                <w:rFonts w:ascii="Arial" w:hAnsi="Arial" w:cs="Arial"/>
                <w:sz w:val="20"/>
              </w:rPr>
              <w:t xml:space="preserve"> </w:t>
            </w:r>
          </w:p>
          <w:p w:rsidR="00000000" w:rsidRDefault="00D93457">
            <w:pPr>
              <w:rPr>
                <w:rFonts w:ascii="Arial" w:hAnsi="Arial" w:cs="Arial"/>
                <w:sz w:val="20"/>
              </w:rPr>
            </w:pPr>
            <w:r>
              <w:rPr>
                <w:rFonts w:ascii="Arial" w:hAnsi="Arial" w:cs="Arial"/>
                <w:sz w:val="20"/>
              </w:rPr>
              <w:t>to I-205</w:t>
            </w:r>
          </w:p>
        </w:tc>
        <w:tc>
          <w:tcPr>
            <w:tcW w:w="1224" w:type="dxa"/>
            <w:vAlign w:val="center"/>
          </w:tcPr>
          <w:p w:rsidR="00000000" w:rsidRDefault="00D93457">
            <w:pPr>
              <w:jc w:val="center"/>
              <w:rPr>
                <w:rFonts w:ascii="Arial" w:hAnsi="Arial" w:cs="Arial"/>
                <w:sz w:val="18"/>
              </w:rPr>
            </w:pPr>
            <w:r>
              <w:rPr>
                <w:rFonts w:ascii="Arial" w:hAnsi="Arial" w:cs="Arial"/>
                <w:sz w:val="18"/>
              </w:rPr>
              <w:t>7</w:t>
            </w:r>
          </w:p>
        </w:tc>
        <w:tc>
          <w:tcPr>
            <w:tcW w:w="1224" w:type="dxa"/>
            <w:vAlign w:val="center"/>
          </w:tcPr>
          <w:p w:rsidR="00000000" w:rsidRDefault="00D93457">
            <w:pPr>
              <w:jc w:val="center"/>
              <w:rPr>
                <w:rFonts w:ascii="Arial" w:hAnsi="Arial" w:cs="Arial"/>
                <w:sz w:val="18"/>
              </w:rPr>
            </w:pPr>
            <w:r>
              <w:rPr>
                <w:rFonts w:ascii="Arial" w:hAnsi="Arial" w:cs="Arial"/>
                <w:sz w:val="18"/>
              </w:rPr>
              <w:t>13:28</w:t>
            </w:r>
          </w:p>
        </w:tc>
        <w:tc>
          <w:tcPr>
            <w:tcW w:w="1224" w:type="dxa"/>
            <w:vAlign w:val="center"/>
          </w:tcPr>
          <w:p w:rsidR="00000000" w:rsidRDefault="00D93457">
            <w:pPr>
              <w:jc w:val="center"/>
              <w:rPr>
                <w:rFonts w:ascii="Arial" w:hAnsi="Arial" w:cs="Arial"/>
                <w:sz w:val="18"/>
              </w:rPr>
            </w:pPr>
            <w:r>
              <w:rPr>
                <w:rFonts w:ascii="Arial" w:hAnsi="Arial" w:cs="Arial"/>
                <w:sz w:val="18"/>
              </w:rPr>
              <w:t>13:36</w:t>
            </w:r>
          </w:p>
        </w:tc>
        <w:tc>
          <w:tcPr>
            <w:tcW w:w="1224" w:type="dxa"/>
            <w:vAlign w:val="center"/>
          </w:tcPr>
          <w:p w:rsidR="00000000" w:rsidRDefault="00D93457">
            <w:pPr>
              <w:jc w:val="center"/>
              <w:rPr>
                <w:rFonts w:ascii="Arial" w:hAnsi="Arial" w:cs="Arial"/>
                <w:sz w:val="18"/>
              </w:rPr>
            </w:pPr>
            <w:r>
              <w:rPr>
                <w:rFonts w:ascii="Arial" w:hAnsi="Arial" w:cs="Arial"/>
                <w:sz w:val="18"/>
              </w:rPr>
              <w:t>12:18</w:t>
            </w:r>
          </w:p>
        </w:tc>
        <w:tc>
          <w:tcPr>
            <w:tcW w:w="1224" w:type="dxa"/>
            <w:vAlign w:val="center"/>
          </w:tcPr>
          <w:p w:rsidR="00000000" w:rsidRDefault="00D93457">
            <w:pPr>
              <w:jc w:val="center"/>
              <w:rPr>
                <w:rFonts w:ascii="Arial" w:hAnsi="Arial" w:cs="Arial"/>
                <w:sz w:val="18"/>
              </w:rPr>
            </w:pPr>
            <w:r>
              <w:rPr>
                <w:rFonts w:ascii="Arial" w:hAnsi="Arial" w:cs="Arial"/>
                <w:sz w:val="18"/>
              </w:rPr>
              <w:t>14:58</w:t>
            </w:r>
          </w:p>
        </w:tc>
      </w:tr>
      <w:tr w:rsidR="00000000">
        <w:tblPrEx>
          <w:tblCellMar>
            <w:top w:w="0" w:type="dxa"/>
            <w:bottom w:w="0" w:type="dxa"/>
          </w:tblCellMar>
        </w:tblPrEx>
        <w:trPr>
          <w:trHeight w:val="351"/>
        </w:trPr>
        <w:tc>
          <w:tcPr>
            <w:tcW w:w="2628" w:type="dxa"/>
            <w:vAlign w:val="center"/>
          </w:tcPr>
          <w:p w:rsidR="00000000" w:rsidRDefault="00D93457">
            <w:pPr>
              <w:pStyle w:val="CommentText"/>
              <w:rPr>
                <w:rFonts w:ascii="Arial" w:hAnsi="Arial" w:cs="Arial"/>
                <w:b/>
                <w:bCs/>
                <w:sz w:val="16"/>
                <w:szCs w:val="24"/>
                <w:u w:val="single"/>
              </w:rPr>
            </w:pPr>
          </w:p>
          <w:p w:rsidR="00000000" w:rsidRDefault="00D93457">
            <w:pPr>
              <w:pStyle w:val="CommentText"/>
              <w:rPr>
                <w:rFonts w:ascii="Arial" w:hAnsi="Arial" w:cs="Arial"/>
                <w:b/>
                <w:bCs/>
                <w:szCs w:val="24"/>
                <w:u w:val="single"/>
              </w:rPr>
            </w:pPr>
            <w:r>
              <w:rPr>
                <w:rFonts w:ascii="Arial" w:hAnsi="Arial" w:cs="Arial"/>
                <w:b/>
                <w:bCs/>
                <w:szCs w:val="24"/>
                <w:u w:val="single"/>
              </w:rPr>
              <w:t>McNary Kelts</w:t>
            </w: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r>
      <w:tr w:rsidR="00000000">
        <w:tblPrEx>
          <w:tblCellMar>
            <w:top w:w="0" w:type="dxa"/>
            <w:bottom w:w="0" w:type="dxa"/>
          </w:tblCellMar>
        </w:tblPrEx>
        <w:trPr>
          <w:cantSplit/>
          <w:trHeight w:val="287"/>
        </w:trPr>
        <w:tc>
          <w:tcPr>
            <w:tcW w:w="2628" w:type="dxa"/>
            <w:vAlign w:val="center"/>
          </w:tcPr>
          <w:p w:rsidR="00000000" w:rsidRDefault="00D93457">
            <w:pPr>
              <w:rPr>
                <w:rFonts w:ascii="Arial" w:hAnsi="Arial" w:cs="Arial"/>
                <w:sz w:val="20"/>
              </w:rPr>
            </w:pPr>
            <w:r>
              <w:rPr>
                <w:rFonts w:ascii="Arial" w:hAnsi="Arial" w:cs="Arial"/>
                <w:sz w:val="20"/>
              </w:rPr>
              <w:t xml:space="preserve">John Day Pool </w:t>
            </w:r>
          </w:p>
        </w:tc>
        <w:tc>
          <w:tcPr>
            <w:tcW w:w="1224" w:type="dxa"/>
            <w:vAlign w:val="center"/>
          </w:tcPr>
          <w:p w:rsidR="00000000" w:rsidRDefault="00D93457">
            <w:pPr>
              <w:jc w:val="center"/>
              <w:rPr>
                <w:rFonts w:ascii="Arial" w:hAnsi="Arial" w:cs="Arial"/>
                <w:sz w:val="18"/>
              </w:rPr>
            </w:pPr>
            <w:r>
              <w:rPr>
                <w:rFonts w:ascii="Arial" w:hAnsi="Arial" w:cs="Arial"/>
                <w:sz w:val="18"/>
              </w:rPr>
              <w:t>7</w:t>
            </w:r>
          </w:p>
        </w:tc>
        <w:tc>
          <w:tcPr>
            <w:tcW w:w="1224" w:type="dxa"/>
            <w:vAlign w:val="center"/>
          </w:tcPr>
          <w:p w:rsidR="00000000" w:rsidRDefault="00D93457">
            <w:pPr>
              <w:jc w:val="center"/>
              <w:rPr>
                <w:rFonts w:ascii="Arial" w:hAnsi="Arial" w:cs="Arial"/>
                <w:sz w:val="18"/>
              </w:rPr>
            </w:pPr>
            <w:r>
              <w:rPr>
                <w:rFonts w:ascii="Arial" w:hAnsi="Arial" w:cs="Arial"/>
                <w:sz w:val="18"/>
              </w:rPr>
              <w:t>310:00</w:t>
            </w:r>
          </w:p>
        </w:tc>
        <w:tc>
          <w:tcPr>
            <w:tcW w:w="1224" w:type="dxa"/>
            <w:vAlign w:val="center"/>
          </w:tcPr>
          <w:p w:rsidR="00000000" w:rsidRDefault="00D93457">
            <w:pPr>
              <w:jc w:val="center"/>
              <w:rPr>
                <w:rFonts w:ascii="Arial" w:hAnsi="Arial" w:cs="Arial"/>
                <w:sz w:val="18"/>
              </w:rPr>
            </w:pPr>
            <w:r>
              <w:rPr>
                <w:rFonts w:ascii="Arial" w:hAnsi="Arial" w:cs="Arial"/>
                <w:sz w:val="18"/>
              </w:rPr>
              <w:t>263:39</w:t>
            </w:r>
          </w:p>
        </w:tc>
        <w:tc>
          <w:tcPr>
            <w:tcW w:w="1224" w:type="dxa"/>
            <w:vAlign w:val="center"/>
          </w:tcPr>
          <w:p w:rsidR="00000000" w:rsidRDefault="00D93457">
            <w:pPr>
              <w:jc w:val="center"/>
              <w:rPr>
                <w:rFonts w:ascii="Arial" w:hAnsi="Arial" w:cs="Arial"/>
                <w:sz w:val="18"/>
              </w:rPr>
            </w:pPr>
            <w:r>
              <w:rPr>
                <w:rFonts w:ascii="Arial" w:hAnsi="Arial" w:cs="Arial"/>
                <w:sz w:val="18"/>
              </w:rPr>
              <w:t>144:04</w:t>
            </w:r>
          </w:p>
        </w:tc>
        <w:tc>
          <w:tcPr>
            <w:tcW w:w="1224" w:type="dxa"/>
            <w:vAlign w:val="center"/>
          </w:tcPr>
          <w:p w:rsidR="00000000" w:rsidRDefault="00D93457">
            <w:pPr>
              <w:jc w:val="center"/>
              <w:rPr>
                <w:rFonts w:ascii="Arial" w:hAnsi="Arial" w:cs="Arial"/>
                <w:sz w:val="18"/>
              </w:rPr>
            </w:pPr>
            <w:r>
              <w:rPr>
                <w:rFonts w:ascii="Arial" w:hAnsi="Arial" w:cs="Arial"/>
                <w:sz w:val="18"/>
              </w:rPr>
              <w:t>578:25</w:t>
            </w:r>
          </w:p>
        </w:tc>
      </w:tr>
      <w:tr w:rsidR="00000000">
        <w:tblPrEx>
          <w:tblCellMar>
            <w:top w:w="0" w:type="dxa"/>
            <w:bottom w:w="0" w:type="dxa"/>
          </w:tblCellMar>
        </w:tblPrEx>
        <w:trPr>
          <w:cantSplit/>
          <w:trHeight w:val="278"/>
        </w:trPr>
        <w:tc>
          <w:tcPr>
            <w:tcW w:w="2628" w:type="dxa"/>
            <w:vAlign w:val="center"/>
          </w:tcPr>
          <w:p w:rsidR="00000000" w:rsidRDefault="00D93457">
            <w:pPr>
              <w:rPr>
                <w:rFonts w:ascii="Arial" w:hAnsi="Arial" w:cs="Arial"/>
                <w:sz w:val="20"/>
              </w:rPr>
            </w:pPr>
            <w:r>
              <w:rPr>
                <w:rFonts w:ascii="Arial" w:hAnsi="Arial" w:cs="Arial"/>
                <w:sz w:val="20"/>
              </w:rPr>
              <w:t>The Dalles Pool</w:t>
            </w:r>
          </w:p>
        </w:tc>
        <w:tc>
          <w:tcPr>
            <w:tcW w:w="1224" w:type="dxa"/>
            <w:vAlign w:val="center"/>
          </w:tcPr>
          <w:p w:rsidR="00000000" w:rsidRDefault="00D93457">
            <w:pPr>
              <w:jc w:val="center"/>
              <w:rPr>
                <w:rFonts w:ascii="Arial" w:hAnsi="Arial" w:cs="Arial"/>
                <w:sz w:val="18"/>
              </w:rPr>
            </w:pPr>
            <w:r>
              <w:rPr>
                <w:rFonts w:ascii="Arial" w:hAnsi="Arial" w:cs="Arial"/>
                <w:sz w:val="18"/>
              </w:rPr>
              <w:t>17</w:t>
            </w:r>
          </w:p>
        </w:tc>
        <w:tc>
          <w:tcPr>
            <w:tcW w:w="1224" w:type="dxa"/>
            <w:vAlign w:val="center"/>
          </w:tcPr>
          <w:p w:rsidR="00000000" w:rsidRDefault="00D93457">
            <w:pPr>
              <w:jc w:val="center"/>
              <w:rPr>
                <w:rFonts w:ascii="Arial" w:hAnsi="Arial" w:cs="Arial"/>
                <w:sz w:val="18"/>
              </w:rPr>
            </w:pPr>
            <w:r>
              <w:rPr>
                <w:rFonts w:ascii="Arial" w:hAnsi="Arial" w:cs="Arial"/>
                <w:sz w:val="18"/>
              </w:rPr>
              <w:t>14:10</w:t>
            </w:r>
          </w:p>
        </w:tc>
        <w:tc>
          <w:tcPr>
            <w:tcW w:w="1224" w:type="dxa"/>
            <w:vAlign w:val="center"/>
          </w:tcPr>
          <w:p w:rsidR="00000000" w:rsidRDefault="00D93457">
            <w:pPr>
              <w:jc w:val="center"/>
              <w:rPr>
                <w:rFonts w:ascii="Arial" w:hAnsi="Arial" w:cs="Arial"/>
                <w:sz w:val="18"/>
              </w:rPr>
            </w:pPr>
            <w:r>
              <w:rPr>
                <w:rFonts w:ascii="Arial" w:hAnsi="Arial" w:cs="Arial"/>
                <w:sz w:val="18"/>
              </w:rPr>
              <w:t>12:52</w:t>
            </w:r>
          </w:p>
        </w:tc>
        <w:tc>
          <w:tcPr>
            <w:tcW w:w="1224" w:type="dxa"/>
            <w:vAlign w:val="center"/>
          </w:tcPr>
          <w:p w:rsidR="00000000" w:rsidRDefault="00D93457">
            <w:pPr>
              <w:jc w:val="center"/>
              <w:rPr>
                <w:rFonts w:ascii="Arial" w:hAnsi="Arial" w:cs="Arial"/>
                <w:sz w:val="18"/>
              </w:rPr>
            </w:pPr>
            <w:r>
              <w:rPr>
                <w:rFonts w:ascii="Arial" w:hAnsi="Arial" w:cs="Arial"/>
                <w:sz w:val="18"/>
              </w:rPr>
              <w:t>6:35</w:t>
            </w:r>
          </w:p>
        </w:tc>
        <w:tc>
          <w:tcPr>
            <w:tcW w:w="1224" w:type="dxa"/>
            <w:vAlign w:val="center"/>
          </w:tcPr>
          <w:p w:rsidR="00000000" w:rsidRDefault="00D93457">
            <w:pPr>
              <w:jc w:val="center"/>
              <w:rPr>
                <w:rFonts w:ascii="Arial" w:hAnsi="Arial" w:cs="Arial"/>
                <w:sz w:val="18"/>
              </w:rPr>
            </w:pPr>
            <w:r>
              <w:rPr>
                <w:rFonts w:ascii="Arial" w:hAnsi="Arial" w:cs="Arial"/>
                <w:sz w:val="18"/>
              </w:rPr>
              <w:t>36:55</w:t>
            </w:r>
          </w:p>
        </w:tc>
      </w:tr>
      <w:tr w:rsidR="00000000">
        <w:tblPrEx>
          <w:tblCellMar>
            <w:top w:w="0" w:type="dxa"/>
            <w:bottom w:w="0" w:type="dxa"/>
          </w:tblCellMar>
        </w:tblPrEx>
        <w:trPr>
          <w:cantSplit/>
          <w:trHeight w:val="278"/>
        </w:trPr>
        <w:tc>
          <w:tcPr>
            <w:tcW w:w="2628" w:type="dxa"/>
            <w:vAlign w:val="center"/>
          </w:tcPr>
          <w:p w:rsidR="00000000" w:rsidRDefault="00D93457">
            <w:pPr>
              <w:rPr>
                <w:rFonts w:ascii="Arial" w:hAnsi="Arial" w:cs="Arial"/>
                <w:sz w:val="20"/>
              </w:rPr>
            </w:pPr>
            <w:r>
              <w:rPr>
                <w:rFonts w:ascii="Arial" w:hAnsi="Arial" w:cs="Arial"/>
                <w:sz w:val="20"/>
              </w:rPr>
              <w:t>Bonneville Pool</w:t>
            </w:r>
          </w:p>
        </w:tc>
        <w:tc>
          <w:tcPr>
            <w:tcW w:w="1224" w:type="dxa"/>
            <w:vAlign w:val="center"/>
          </w:tcPr>
          <w:p w:rsidR="00000000" w:rsidRDefault="00D93457">
            <w:pPr>
              <w:jc w:val="center"/>
              <w:rPr>
                <w:rFonts w:ascii="Arial" w:hAnsi="Arial" w:cs="Arial"/>
                <w:sz w:val="18"/>
              </w:rPr>
            </w:pPr>
            <w:r>
              <w:rPr>
                <w:rFonts w:ascii="Arial" w:hAnsi="Arial" w:cs="Arial"/>
                <w:sz w:val="18"/>
              </w:rPr>
              <w:t>26</w:t>
            </w:r>
          </w:p>
        </w:tc>
        <w:tc>
          <w:tcPr>
            <w:tcW w:w="1224" w:type="dxa"/>
            <w:vAlign w:val="center"/>
          </w:tcPr>
          <w:p w:rsidR="00000000" w:rsidRDefault="00D93457">
            <w:pPr>
              <w:jc w:val="center"/>
              <w:rPr>
                <w:rFonts w:ascii="Arial" w:hAnsi="Arial" w:cs="Arial"/>
                <w:sz w:val="18"/>
              </w:rPr>
            </w:pPr>
            <w:r>
              <w:rPr>
                <w:rFonts w:ascii="Arial" w:hAnsi="Arial" w:cs="Arial"/>
                <w:sz w:val="18"/>
              </w:rPr>
              <w:t>30:09</w:t>
            </w:r>
          </w:p>
        </w:tc>
        <w:tc>
          <w:tcPr>
            <w:tcW w:w="1224" w:type="dxa"/>
            <w:vAlign w:val="center"/>
          </w:tcPr>
          <w:p w:rsidR="00000000" w:rsidRDefault="00D93457">
            <w:pPr>
              <w:jc w:val="center"/>
              <w:rPr>
                <w:rFonts w:ascii="Arial" w:hAnsi="Arial" w:cs="Arial"/>
                <w:sz w:val="18"/>
              </w:rPr>
            </w:pPr>
            <w:r>
              <w:rPr>
                <w:rFonts w:ascii="Arial" w:hAnsi="Arial" w:cs="Arial"/>
                <w:sz w:val="18"/>
              </w:rPr>
              <w:t>28:41</w:t>
            </w:r>
          </w:p>
        </w:tc>
        <w:tc>
          <w:tcPr>
            <w:tcW w:w="1224" w:type="dxa"/>
            <w:vAlign w:val="center"/>
          </w:tcPr>
          <w:p w:rsidR="00000000" w:rsidRDefault="00D93457">
            <w:pPr>
              <w:jc w:val="center"/>
              <w:rPr>
                <w:rFonts w:ascii="Arial" w:hAnsi="Arial" w:cs="Arial"/>
                <w:sz w:val="18"/>
              </w:rPr>
            </w:pPr>
            <w:r>
              <w:rPr>
                <w:rFonts w:ascii="Arial" w:hAnsi="Arial" w:cs="Arial"/>
                <w:sz w:val="18"/>
              </w:rPr>
              <w:t>21:12</w:t>
            </w:r>
          </w:p>
        </w:tc>
        <w:tc>
          <w:tcPr>
            <w:tcW w:w="1224" w:type="dxa"/>
            <w:vAlign w:val="center"/>
          </w:tcPr>
          <w:p w:rsidR="00000000" w:rsidRDefault="00D93457">
            <w:pPr>
              <w:jc w:val="center"/>
              <w:rPr>
                <w:rFonts w:ascii="Arial" w:hAnsi="Arial" w:cs="Arial"/>
                <w:sz w:val="18"/>
              </w:rPr>
            </w:pPr>
            <w:r>
              <w:rPr>
                <w:rFonts w:ascii="Arial" w:hAnsi="Arial" w:cs="Arial"/>
                <w:sz w:val="18"/>
              </w:rPr>
              <w:t>45:24</w:t>
            </w:r>
          </w:p>
        </w:tc>
      </w:tr>
      <w:tr w:rsidR="00000000">
        <w:tblPrEx>
          <w:tblCellMar>
            <w:top w:w="0" w:type="dxa"/>
            <w:bottom w:w="0" w:type="dxa"/>
          </w:tblCellMar>
        </w:tblPrEx>
        <w:trPr>
          <w:cantSplit/>
        </w:trPr>
        <w:tc>
          <w:tcPr>
            <w:tcW w:w="2628" w:type="dxa"/>
            <w:vAlign w:val="center"/>
          </w:tcPr>
          <w:p w:rsidR="00000000" w:rsidRDefault="00D93457">
            <w:pPr>
              <w:rPr>
                <w:rFonts w:ascii="Arial" w:hAnsi="Arial" w:cs="Arial"/>
                <w:sz w:val="20"/>
              </w:rPr>
            </w:pPr>
            <w:r>
              <w:rPr>
                <w:rFonts w:ascii="Arial" w:hAnsi="Arial" w:cs="Arial"/>
                <w:sz w:val="20"/>
              </w:rPr>
              <w:t>Passage time from 1/2BO to I</w:t>
            </w:r>
            <w:r>
              <w:rPr>
                <w:rFonts w:ascii="Arial" w:hAnsi="Arial" w:cs="Arial"/>
                <w:sz w:val="20"/>
              </w:rPr>
              <w:t>-205</w:t>
            </w:r>
          </w:p>
        </w:tc>
        <w:tc>
          <w:tcPr>
            <w:tcW w:w="1224" w:type="dxa"/>
            <w:vAlign w:val="center"/>
          </w:tcPr>
          <w:p w:rsidR="00000000" w:rsidRDefault="00D93457">
            <w:pPr>
              <w:jc w:val="center"/>
              <w:rPr>
                <w:rFonts w:ascii="Arial" w:hAnsi="Arial" w:cs="Arial"/>
                <w:sz w:val="18"/>
              </w:rPr>
            </w:pPr>
            <w:r>
              <w:rPr>
                <w:rFonts w:ascii="Arial" w:hAnsi="Arial" w:cs="Arial"/>
                <w:sz w:val="18"/>
              </w:rPr>
              <w:t>29</w:t>
            </w:r>
          </w:p>
        </w:tc>
        <w:tc>
          <w:tcPr>
            <w:tcW w:w="1224" w:type="dxa"/>
            <w:vAlign w:val="center"/>
          </w:tcPr>
          <w:p w:rsidR="00000000" w:rsidRDefault="00D93457">
            <w:pPr>
              <w:jc w:val="center"/>
              <w:rPr>
                <w:rFonts w:ascii="Arial" w:hAnsi="Arial" w:cs="Arial"/>
                <w:sz w:val="18"/>
              </w:rPr>
            </w:pPr>
            <w:r>
              <w:rPr>
                <w:rFonts w:ascii="Arial" w:hAnsi="Arial" w:cs="Arial"/>
                <w:sz w:val="18"/>
              </w:rPr>
              <w:t>15:20</w:t>
            </w:r>
          </w:p>
        </w:tc>
        <w:tc>
          <w:tcPr>
            <w:tcW w:w="1224" w:type="dxa"/>
            <w:vAlign w:val="center"/>
          </w:tcPr>
          <w:p w:rsidR="00000000" w:rsidRDefault="00D93457">
            <w:pPr>
              <w:jc w:val="center"/>
              <w:rPr>
                <w:rFonts w:ascii="Arial" w:hAnsi="Arial" w:cs="Arial"/>
                <w:sz w:val="18"/>
              </w:rPr>
            </w:pPr>
            <w:r>
              <w:rPr>
                <w:rFonts w:ascii="Arial" w:hAnsi="Arial" w:cs="Arial"/>
                <w:sz w:val="18"/>
              </w:rPr>
              <w:t>13:48</w:t>
            </w:r>
          </w:p>
        </w:tc>
        <w:tc>
          <w:tcPr>
            <w:tcW w:w="1224" w:type="dxa"/>
            <w:vAlign w:val="center"/>
          </w:tcPr>
          <w:p w:rsidR="00000000" w:rsidRDefault="00D93457">
            <w:pPr>
              <w:jc w:val="center"/>
              <w:rPr>
                <w:rFonts w:ascii="Arial" w:hAnsi="Arial" w:cs="Arial"/>
                <w:sz w:val="18"/>
              </w:rPr>
            </w:pPr>
            <w:r>
              <w:rPr>
                <w:rFonts w:ascii="Arial" w:hAnsi="Arial" w:cs="Arial"/>
                <w:sz w:val="18"/>
              </w:rPr>
              <w:t>10:22</w:t>
            </w:r>
          </w:p>
        </w:tc>
        <w:tc>
          <w:tcPr>
            <w:tcW w:w="1224" w:type="dxa"/>
            <w:vAlign w:val="center"/>
          </w:tcPr>
          <w:p w:rsidR="00000000" w:rsidRDefault="00D93457">
            <w:pPr>
              <w:jc w:val="center"/>
              <w:rPr>
                <w:rFonts w:ascii="Arial" w:hAnsi="Arial" w:cs="Arial"/>
                <w:sz w:val="18"/>
              </w:rPr>
            </w:pPr>
            <w:r>
              <w:rPr>
                <w:rFonts w:ascii="Arial" w:hAnsi="Arial" w:cs="Arial"/>
                <w:sz w:val="18"/>
              </w:rPr>
              <w:t>37:18</w:t>
            </w:r>
          </w:p>
        </w:tc>
      </w:tr>
      <w:tr w:rsidR="00000000">
        <w:tblPrEx>
          <w:tblCellMar>
            <w:top w:w="0" w:type="dxa"/>
            <w:bottom w:w="0" w:type="dxa"/>
          </w:tblCellMar>
        </w:tblPrEx>
        <w:trPr>
          <w:cantSplit/>
          <w:trHeight w:val="360"/>
        </w:trPr>
        <w:tc>
          <w:tcPr>
            <w:tcW w:w="2628" w:type="dxa"/>
            <w:vAlign w:val="center"/>
          </w:tcPr>
          <w:p w:rsidR="00000000" w:rsidRDefault="00D93457">
            <w:pPr>
              <w:pStyle w:val="CommentText"/>
              <w:rPr>
                <w:rFonts w:ascii="Arial" w:hAnsi="Arial" w:cs="Arial"/>
                <w:b/>
                <w:bCs/>
                <w:sz w:val="16"/>
                <w:szCs w:val="24"/>
                <w:u w:val="single"/>
              </w:rPr>
            </w:pPr>
          </w:p>
          <w:p w:rsidR="00000000" w:rsidRDefault="00D93457">
            <w:pPr>
              <w:pStyle w:val="CommentText"/>
              <w:rPr>
                <w:rFonts w:ascii="Arial" w:hAnsi="Arial" w:cs="Arial"/>
                <w:b/>
                <w:bCs/>
                <w:szCs w:val="24"/>
                <w:u w:val="single"/>
              </w:rPr>
            </w:pPr>
            <w:r>
              <w:rPr>
                <w:rFonts w:ascii="Arial" w:hAnsi="Arial" w:cs="Arial"/>
                <w:b/>
                <w:bCs/>
                <w:szCs w:val="24"/>
                <w:u w:val="single"/>
              </w:rPr>
              <w:t>John Day Kelts</w:t>
            </w: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c>
          <w:tcPr>
            <w:tcW w:w="1224" w:type="dxa"/>
            <w:vAlign w:val="center"/>
          </w:tcPr>
          <w:p w:rsidR="00000000" w:rsidRDefault="00D93457">
            <w:pPr>
              <w:jc w:val="center"/>
              <w:rPr>
                <w:rFonts w:ascii="Arial" w:hAnsi="Arial" w:cs="Arial"/>
                <w:sz w:val="18"/>
              </w:rPr>
            </w:pPr>
          </w:p>
        </w:tc>
      </w:tr>
      <w:tr w:rsidR="00000000">
        <w:tblPrEx>
          <w:tblCellMar>
            <w:top w:w="0" w:type="dxa"/>
            <w:bottom w:w="0" w:type="dxa"/>
          </w:tblCellMar>
        </w:tblPrEx>
        <w:trPr>
          <w:cantSplit/>
          <w:trHeight w:val="288"/>
        </w:trPr>
        <w:tc>
          <w:tcPr>
            <w:tcW w:w="2628" w:type="dxa"/>
            <w:vAlign w:val="center"/>
          </w:tcPr>
          <w:p w:rsidR="00000000" w:rsidRDefault="00D93457">
            <w:pPr>
              <w:pStyle w:val="CommentText"/>
              <w:rPr>
                <w:rFonts w:ascii="Arial" w:hAnsi="Arial" w:cs="Arial"/>
                <w:szCs w:val="24"/>
              </w:rPr>
            </w:pPr>
            <w:r>
              <w:rPr>
                <w:rFonts w:ascii="Arial" w:hAnsi="Arial" w:cs="Arial"/>
                <w:szCs w:val="24"/>
              </w:rPr>
              <w:t>The Dalles Pool</w:t>
            </w:r>
          </w:p>
        </w:tc>
        <w:tc>
          <w:tcPr>
            <w:tcW w:w="1224" w:type="dxa"/>
            <w:vAlign w:val="center"/>
          </w:tcPr>
          <w:p w:rsidR="00000000" w:rsidRDefault="00D93457">
            <w:pPr>
              <w:jc w:val="center"/>
              <w:rPr>
                <w:rFonts w:ascii="Arial" w:hAnsi="Arial" w:cs="Arial"/>
                <w:sz w:val="18"/>
              </w:rPr>
            </w:pPr>
            <w:r>
              <w:rPr>
                <w:rFonts w:ascii="Arial" w:hAnsi="Arial" w:cs="Arial"/>
                <w:sz w:val="18"/>
              </w:rPr>
              <w:t>38</w:t>
            </w:r>
          </w:p>
        </w:tc>
        <w:tc>
          <w:tcPr>
            <w:tcW w:w="1224" w:type="dxa"/>
            <w:vAlign w:val="center"/>
          </w:tcPr>
          <w:p w:rsidR="00000000" w:rsidRDefault="00D93457">
            <w:pPr>
              <w:jc w:val="center"/>
              <w:rPr>
                <w:rFonts w:ascii="Arial" w:hAnsi="Arial" w:cs="Arial"/>
                <w:sz w:val="18"/>
              </w:rPr>
            </w:pPr>
            <w:r>
              <w:rPr>
                <w:rFonts w:ascii="Arial" w:hAnsi="Arial" w:cs="Arial"/>
                <w:sz w:val="18"/>
              </w:rPr>
              <w:t>25:33</w:t>
            </w:r>
          </w:p>
        </w:tc>
        <w:tc>
          <w:tcPr>
            <w:tcW w:w="1224" w:type="dxa"/>
            <w:vAlign w:val="center"/>
          </w:tcPr>
          <w:p w:rsidR="00000000" w:rsidRDefault="00D93457">
            <w:pPr>
              <w:jc w:val="center"/>
              <w:rPr>
                <w:rFonts w:ascii="Arial" w:hAnsi="Arial" w:cs="Arial"/>
                <w:sz w:val="18"/>
              </w:rPr>
            </w:pPr>
            <w:r>
              <w:rPr>
                <w:rFonts w:ascii="Arial" w:hAnsi="Arial" w:cs="Arial"/>
                <w:sz w:val="18"/>
              </w:rPr>
              <w:t>22:07</w:t>
            </w:r>
          </w:p>
        </w:tc>
        <w:tc>
          <w:tcPr>
            <w:tcW w:w="1224" w:type="dxa"/>
            <w:vAlign w:val="center"/>
          </w:tcPr>
          <w:p w:rsidR="00000000" w:rsidRDefault="00D93457">
            <w:pPr>
              <w:jc w:val="center"/>
              <w:rPr>
                <w:rFonts w:ascii="Arial" w:hAnsi="Arial" w:cs="Arial"/>
                <w:sz w:val="18"/>
              </w:rPr>
            </w:pPr>
            <w:r>
              <w:rPr>
                <w:rFonts w:ascii="Arial" w:hAnsi="Arial" w:cs="Arial"/>
                <w:sz w:val="18"/>
              </w:rPr>
              <w:t>12:00</w:t>
            </w:r>
          </w:p>
        </w:tc>
        <w:tc>
          <w:tcPr>
            <w:tcW w:w="1224" w:type="dxa"/>
            <w:vAlign w:val="center"/>
          </w:tcPr>
          <w:p w:rsidR="00000000" w:rsidRDefault="00D93457">
            <w:pPr>
              <w:jc w:val="center"/>
              <w:rPr>
                <w:rFonts w:ascii="Arial" w:hAnsi="Arial" w:cs="Arial"/>
                <w:sz w:val="18"/>
              </w:rPr>
            </w:pPr>
            <w:r>
              <w:rPr>
                <w:rFonts w:ascii="Arial" w:hAnsi="Arial" w:cs="Arial"/>
                <w:sz w:val="18"/>
              </w:rPr>
              <w:t>75:08</w:t>
            </w:r>
          </w:p>
        </w:tc>
      </w:tr>
      <w:tr w:rsidR="00000000">
        <w:tblPrEx>
          <w:tblCellMar>
            <w:top w:w="0" w:type="dxa"/>
            <w:bottom w:w="0" w:type="dxa"/>
          </w:tblCellMar>
        </w:tblPrEx>
        <w:trPr>
          <w:cantSplit/>
          <w:trHeight w:val="278"/>
        </w:trPr>
        <w:tc>
          <w:tcPr>
            <w:tcW w:w="2628" w:type="dxa"/>
            <w:vAlign w:val="center"/>
          </w:tcPr>
          <w:p w:rsidR="00000000" w:rsidRDefault="00D93457">
            <w:pPr>
              <w:pStyle w:val="CommentText"/>
              <w:rPr>
                <w:rFonts w:ascii="Arial" w:hAnsi="Arial" w:cs="Arial"/>
                <w:szCs w:val="24"/>
              </w:rPr>
            </w:pPr>
            <w:r>
              <w:rPr>
                <w:rFonts w:ascii="Arial" w:hAnsi="Arial" w:cs="Arial"/>
                <w:szCs w:val="24"/>
              </w:rPr>
              <w:t>Bonneville Pool</w:t>
            </w:r>
          </w:p>
        </w:tc>
        <w:tc>
          <w:tcPr>
            <w:tcW w:w="1224" w:type="dxa"/>
            <w:vAlign w:val="center"/>
          </w:tcPr>
          <w:p w:rsidR="00000000" w:rsidRDefault="00D93457">
            <w:pPr>
              <w:jc w:val="center"/>
              <w:rPr>
                <w:rFonts w:ascii="Arial" w:hAnsi="Arial" w:cs="Arial"/>
                <w:sz w:val="18"/>
              </w:rPr>
            </w:pPr>
            <w:r>
              <w:rPr>
                <w:rFonts w:ascii="Arial" w:hAnsi="Arial" w:cs="Arial"/>
                <w:sz w:val="18"/>
              </w:rPr>
              <w:t>78</w:t>
            </w:r>
          </w:p>
        </w:tc>
        <w:tc>
          <w:tcPr>
            <w:tcW w:w="1224" w:type="dxa"/>
            <w:vAlign w:val="center"/>
          </w:tcPr>
          <w:p w:rsidR="00000000" w:rsidRDefault="00D93457">
            <w:pPr>
              <w:jc w:val="center"/>
              <w:rPr>
                <w:rFonts w:ascii="Arial" w:hAnsi="Arial" w:cs="Arial"/>
                <w:sz w:val="18"/>
              </w:rPr>
            </w:pPr>
            <w:r>
              <w:rPr>
                <w:rFonts w:ascii="Arial" w:hAnsi="Arial" w:cs="Arial"/>
                <w:sz w:val="18"/>
              </w:rPr>
              <w:t>38:39</w:t>
            </w:r>
          </w:p>
        </w:tc>
        <w:tc>
          <w:tcPr>
            <w:tcW w:w="1224" w:type="dxa"/>
            <w:vAlign w:val="center"/>
          </w:tcPr>
          <w:p w:rsidR="00000000" w:rsidRDefault="00D93457">
            <w:pPr>
              <w:jc w:val="center"/>
              <w:rPr>
                <w:rFonts w:ascii="Arial" w:hAnsi="Arial" w:cs="Arial"/>
                <w:sz w:val="18"/>
              </w:rPr>
            </w:pPr>
            <w:r>
              <w:rPr>
                <w:rFonts w:ascii="Arial" w:hAnsi="Arial" w:cs="Arial"/>
                <w:sz w:val="18"/>
              </w:rPr>
              <w:t>36:43</w:t>
            </w:r>
          </w:p>
        </w:tc>
        <w:tc>
          <w:tcPr>
            <w:tcW w:w="1224" w:type="dxa"/>
            <w:vAlign w:val="center"/>
          </w:tcPr>
          <w:p w:rsidR="00000000" w:rsidRDefault="00D93457">
            <w:pPr>
              <w:jc w:val="center"/>
              <w:rPr>
                <w:rFonts w:ascii="Arial" w:hAnsi="Arial" w:cs="Arial"/>
                <w:sz w:val="18"/>
              </w:rPr>
            </w:pPr>
            <w:r>
              <w:rPr>
                <w:rFonts w:ascii="Arial" w:hAnsi="Arial" w:cs="Arial"/>
                <w:sz w:val="18"/>
              </w:rPr>
              <w:t>7:37</w:t>
            </w:r>
          </w:p>
        </w:tc>
        <w:tc>
          <w:tcPr>
            <w:tcW w:w="1224" w:type="dxa"/>
            <w:vAlign w:val="center"/>
          </w:tcPr>
          <w:p w:rsidR="00000000" w:rsidRDefault="00D93457">
            <w:pPr>
              <w:jc w:val="center"/>
              <w:rPr>
                <w:rFonts w:ascii="Arial" w:hAnsi="Arial" w:cs="Arial"/>
                <w:sz w:val="18"/>
              </w:rPr>
            </w:pPr>
            <w:r>
              <w:rPr>
                <w:rFonts w:ascii="Arial" w:hAnsi="Arial" w:cs="Arial"/>
                <w:sz w:val="18"/>
              </w:rPr>
              <w:t>123:26</w:t>
            </w:r>
          </w:p>
        </w:tc>
      </w:tr>
      <w:tr w:rsidR="00000000">
        <w:tblPrEx>
          <w:tblCellMar>
            <w:top w:w="0" w:type="dxa"/>
            <w:bottom w:w="0" w:type="dxa"/>
          </w:tblCellMar>
        </w:tblPrEx>
        <w:trPr>
          <w:cantSplit/>
        </w:trPr>
        <w:tc>
          <w:tcPr>
            <w:tcW w:w="2628" w:type="dxa"/>
            <w:vAlign w:val="center"/>
          </w:tcPr>
          <w:p w:rsidR="00000000" w:rsidRDefault="00D93457">
            <w:pPr>
              <w:rPr>
                <w:rFonts w:ascii="Arial" w:hAnsi="Arial" w:cs="Arial"/>
                <w:sz w:val="20"/>
              </w:rPr>
            </w:pPr>
            <w:r>
              <w:rPr>
                <w:rFonts w:ascii="Arial" w:hAnsi="Arial" w:cs="Arial"/>
                <w:sz w:val="20"/>
              </w:rPr>
              <w:t>Passage time from 1/2BO to I-205</w:t>
            </w:r>
          </w:p>
        </w:tc>
        <w:tc>
          <w:tcPr>
            <w:tcW w:w="1224" w:type="dxa"/>
            <w:vAlign w:val="center"/>
          </w:tcPr>
          <w:p w:rsidR="00000000" w:rsidRDefault="00D93457">
            <w:pPr>
              <w:jc w:val="center"/>
              <w:rPr>
                <w:rFonts w:ascii="Arial" w:hAnsi="Arial" w:cs="Arial"/>
                <w:sz w:val="18"/>
              </w:rPr>
            </w:pPr>
            <w:r>
              <w:rPr>
                <w:rFonts w:ascii="Arial" w:hAnsi="Arial" w:cs="Arial"/>
                <w:sz w:val="18"/>
              </w:rPr>
              <w:t>64</w:t>
            </w:r>
          </w:p>
        </w:tc>
        <w:tc>
          <w:tcPr>
            <w:tcW w:w="1224" w:type="dxa"/>
            <w:vAlign w:val="center"/>
          </w:tcPr>
          <w:p w:rsidR="00000000" w:rsidRDefault="00D93457">
            <w:pPr>
              <w:jc w:val="center"/>
              <w:rPr>
                <w:rFonts w:ascii="Arial" w:hAnsi="Arial" w:cs="Arial"/>
                <w:sz w:val="18"/>
              </w:rPr>
            </w:pPr>
            <w:r>
              <w:rPr>
                <w:rFonts w:ascii="Arial" w:hAnsi="Arial" w:cs="Arial"/>
                <w:sz w:val="18"/>
              </w:rPr>
              <w:t>16:51</w:t>
            </w:r>
          </w:p>
        </w:tc>
        <w:tc>
          <w:tcPr>
            <w:tcW w:w="1224" w:type="dxa"/>
            <w:vAlign w:val="center"/>
          </w:tcPr>
          <w:p w:rsidR="00000000" w:rsidRDefault="00D93457">
            <w:pPr>
              <w:jc w:val="center"/>
              <w:rPr>
                <w:rFonts w:ascii="Arial" w:hAnsi="Arial" w:cs="Arial"/>
                <w:sz w:val="18"/>
              </w:rPr>
            </w:pPr>
            <w:r>
              <w:rPr>
                <w:rFonts w:ascii="Arial" w:hAnsi="Arial" w:cs="Arial"/>
                <w:sz w:val="18"/>
              </w:rPr>
              <w:t>15:34</w:t>
            </w:r>
          </w:p>
        </w:tc>
        <w:tc>
          <w:tcPr>
            <w:tcW w:w="1224" w:type="dxa"/>
            <w:vAlign w:val="center"/>
          </w:tcPr>
          <w:p w:rsidR="00000000" w:rsidRDefault="00D93457">
            <w:pPr>
              <w:jc w:val="center"/>
              <w:rPr>
                <w:rFonts w:ascii="Arial" w:hAnsi="Arial" w:cs="Arial"/>
                <w:sz w:val="18"/>
              </w:rPr>
            </w:pPr>
            <w:r>
              <w:rPr>
                <w:rFonts w:ascii="Arial" w:hAnsi="Arial" w:cs="Arial"/>
                <w:sz w:val="18"/>
              </w:rPr>
              <w:t>10:56</w:t>
            </w:r>
          </w:p>
        </w:tc>
        <w:tc>
          <w:tcPr>
            <w:tcW w:w="1224" w:type="dxa"/>
            <w:vAlign w:val="center"/>
          </w:tcPr>
          <w:p w:rsidR="00000000" w:rsidRDefault="00D93457">
            <w:pPr>
              <w:jc w:val="center"/>
              <w:rPr>
                <w:rFonts w:ascii="Arial" w:hAnsi="Arial" w:cs="Arial"/>
                <w:sz w:val="18"/>
              </w:rPr>
            </w:pPr>
            <w:r>
              <w:rPr>
                <w:rFonts w:ascii="Arial" w:hAnsi="Arial" w:cs="Arial"/>
                <w:sz w:val="18"/>
              </w:rPr>
              <w:t>37:11</w:t>
            </w:r>
          </w:p>
        </w:tc>
      </w:tr>
    </w:tbl>
    <w:p w:rsidR="00000000" w:rsidRDefault="00D93457">
      <w:pPr>
        <w:ind w:firstLine="720"/>
        <w:rPr>
          <w:b/>
        </w:rPr>
      </w:pPr>
    </w:p>
    <w:p w:rsidR="00000000" w:rsidRDefault="00D93457">
      <w:pPr>
        <w:pStyle w:val="BodyTextIndent"/>
        <w:ind w:left="0" w:firstLine="0"/>
        <w:rPr>
          <w:bCs/>
          <w:color w:val="0000FF"/>
        </w:rPr>
      </w:pPr>
      <w:r>
        <w:rPr>
          <w:b/>
        </w:rPr>
        <w:t>Travel Rate (Spill vs. No Spill)</w:t>
      </w:r>
    </w:p>
    <w:p w:rsidR="00000000" w:rsidRDefault="00D93457">
      <w:pPr>
        <w:ind w:firstLine="720"/>
        <w:rPr>
          <w:bCs/>
        </w:rPr>
      </w:pPr>
      <w:r>
        <w:rPr>
          <w:bCs/>
        </w:rPr>
        <w:t>The travel rates o</w:t>
      </w:r>
      <w:r>
        <w:rPr>
          <w:bCs/>
        </w:rPr>
        <w:t>f kelts through the The Dalles pool were significantly faster during spill conditions (n=34) than the travel rates of kelts before spill (n=30; 2.51 km/hour versus 1.84 km/hour means, 2.43 km/hour versus 1.73 km/hour medians; two sample t-test for means, g</w:t>
      </w:r>
      <w:r>
        <w:rPr>
          <w:bCs/>
        </w:rPr>
        <w:t>roups with equal variances, DF = 62, P &lt; 0.0036).</w:t>
      </w:r>
    </w:p>
    <w:p w:rsidR="00000000" w:rsidRDefault="00D93457">
      <w:pPr>
        <w:rPr>
          <w:bCs/>
        </w:rPr>
      </w:pPr>
    </w:p>
    <w:p w:rsidR="00000000" w:rsidRDefault="00D93457">
      <w:pPr>
        <w:pStyle w:val="BodyText"/>
        <w:ind w:firstLine="720"/>
        <w:rPr>
          <w:bCs/>
        </w:rPr>
      </w:pPr>
      <w:r>
        <w:rPr>
          <w:bCs/>
        </w:rPr>
        <w:t>The travel rates of kelts through the Bonneville Pool were significantly faster during</w:t>
      </w:r>
    </w:p>
    <w:p w:rsidR="00000000" w:rsidRDefault="00D93457">
      <w:pPr>
        <w:pStyle w:val="BodyText"/>
        <w:rPr>
          <w:bCs/>
        </w:rPr>
      </w:pPr>
      <w:proofErr w:type="gramStart"/>
      <w:r>
        <w:rPr>
          <w:bCs/>
        </w:rPr>
        <w:t>spill</w:t>
      </w:r>
      <w:proofErr w:type="gramEnd"/>
      <w:r>
        <w:rPr>
          <w:bCs/>
        </w:rPr>
        <w:t xml:space="preserve"> conditions (n=46) than the travel rates of kelts before spill (n=59; 2.40 km/hour versus </w:t>
      </w:r>
    </w:p>
    <w:p w:rsidR="00000000" w:rsidRDefault="00D93457">
      <w:pPr>
        <w:pStyle w:val="BodyText"/>
        <w:rPr>
          <w:bCs/>
        </w:rPr>
      </w:pPr>
      <w:r>
        <w:rPr>
          <w:bCs/>
        </w:rPr>
        <w:t>2.05 km/hour means, 2.</w:t>
      </w:r>
      <w:r>
        <w:rPr>
          <w:bCs/>
        </w:rPr>
        <w:t xml:space="preserve">39 km/hour versus 1.92 km/hour medians; </w:t>
      </w:r>
      <w:r>
        <w:t>Wilcoxon two-sample test, normal approximation, two-sided, DF = 45, P &lt; 0.0001</w:t>
      </w:r>
      <w:r>
        <w:rPr>
          <w:bCs/>
        </w:rPr>
        <w:t>).</w:t>
      </w:r>
    </w:p>
    <w:p w:rsidR="00000000" w:rsidRDefault="00D93457">
      <w:pPr>
        <w:pStyle w:val="BodyTextIndent"/>
        <w:ind w:left="0"/>
        <w:rPr>
          <w:bCs/>
        </w:rPr>
      </w:pPr>
    </w:p>
    <w:p w:rsidR="00000000" w:rsidRDefault="00D93457">
      <w:pPr>
        <w:pStyle w:val="BodyTextIndent"/>
        <w:ind w:left="0"/>
        <w:rPr>
          <w:bCs/>
          <w:color w:val="0000FF"/>
        </w:rPr>
      </w:pPr>
      <w:r>
        <w:rPr>
          <w:bCs/>
        </w:rPr>
        <w:t>The travel rates of kelts below Bonneville Dam to the I-205 bridge were significantly faster during spill conditions (n=58) than the t</w:t>
      </w:r>
      <w:r>
        <w:rPr>
          <w:bCs/>
        </w:rPr>
        <w:t>ravel rates of kelts before spill (n=42; 3.62 km/hour versus 3.02 km/hour means, 3.73 km/hour versus 3.12 km/hour medians; two sample t-test for means, groups with equal variances, DF = 98, P &lt; 0.0001).</w:t>
      </w:r>
    </w:p>
    <w:p w:rsidR="00000000" w:rsidRDefault="00D93457">
      <w:pPr>
        <w:pStyle w:val="BodyTextIndent"/>
        <w:ind w:left="0"/>
        <w:rPr>
          <w:bCs/>
          <w:color w:val="FF0000"/>
        </w:rPr>
      </w:pPr>
    </w:p>
    <w:p w:rsidR="00000000" w:rsidRDefault="00D93457">
      <w:pPr>
        <w:pStyle w:val="BodyTextIndent"/>
        <w:ind w:left="0" w:firstLine="0"/>
        <w:rPr>
          <w:rFonts w:eastAsia="Arial"/>
          <w:b/>
          <w:bCs/>
        </w:rPr>
      </w:pPr>
      <w:r>
        <w:rPr>
          <w:rFonts w:eastAsia="Arial"/>
          <w:b/>
          <w:bCs/>
        </w:rPr>
        <w:t>Pa</w:t>
      </w:r>
      <w:r>
        <w:rPr>
          <w:b/>
          <w:bCs/>
        </w:rPr>
        <w:t xml:space="preserve">ssage – John Day Dam </w:t>
      </w:r>
    </w:p>
    <w:p w:rsidR="00000000" w:rsidRDefault="00D93457">
      <w:pPr>
        <w:pStyle w:val="BodyTextIndent"/>
        <w:ind w:left="0"/>
      </w:pPr>
      <w:r>
        <w:t>Due to drought conditions in</w:t>
      </w:r>
      <w:r>
        <w:t xml:space="preserve"> 2001, underwater monitoring at JDD was cancelled.  As a result, little information on </w:t>
      </w:r>
      <w:proofErr w:type="gramStart"/>
      <w:r>
        <w:t>kelt</w:t>
      </w:r>
      <w:proofErr w:type="gramEnd"/>
      <w:r>
        <w:t xml:space="preserve"> passage distributions are available from this project.  </w:t>
      </w:r>
    </w:p>
    <w:p w:rsidR="00000000" w:rsidRDefault="00D93457">
      <w:pPr>
        <w:pStyle w:val="BodyTextIndent"/>
        <w:ind w:left="0" w:firstLine="0"/>
        <w:rPr>
          <w:b/>
          <w:bCs/>
        </w:rPr>
      </w:pPr>
      <w:r>
        <w:rPr>
          <w:sz w:val="20"/>
        </w:rPr>
        <w:t xml:space="preserve"> </w:t>
      </w:r>
    </w:p>
    <w:p w:rsidR="00000000" w:rsidRDefault="00D93457">
      <w:pPr>
        <w:pStyle w:val="BodyTextIndent"/>
        <w:ind w:left="0" w:firstLine="0"/>
        <w:rPr>
          <w:b/>
          <w:bCs/>
        </w:rPr>
      </w:pPr>
      <w:r>
        <w:rPr>
          <w:b/>
          <w:bCs/>
        </w:rPr>
        <w:t>Passage - The Dalles Dam</w:t>
      </w:r>
    </w:p>
    <w:p w:rsidR="00000000" w:rsidRDefault="00D93457">
      <w:pPr>
        <w:pStyle w:val="BodyTextIndent"/>
        <w:ind w:left="0"/>
      </w:pPr>
      <w:r>
        <w:t>Telemetry data provided complete passage histories for 42% (88/212) of kelts rel</w:t>
      </w:r>
      <w:r>
        <w:t>eased from McN and JDD at TDA.  In addition, roughly 9% (18/212) of LGR released kelts had complete passage histories at TDA (Figure 1).</w:t>
      </w:r>
    </w:p>
    <w:p w:rsidR="00000000" w:rsidRDefault="00D93457">
      <w:pPr>
        <w:pStyle w:val="BodyTextIndent"/>
        <w:ind w:left="0" w:firstLine="0"/>
      </w:pPr>
      <w:r>
        <w:object w:dxaOrig="10066" w:dyaOrig="3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45.55pt" o:ole="">
            <v:imagedata r:id="rId14" o:title="" cropbottom="1149f"/>
          </v:shape>
          <o:OLEObject Type="Embed" ProgID="PBrush" ShapeID="_x0000_i1025" DrawAspect="Content" ObjectID="_1396706735" r:id="rId15"/>
        </w:object>
      </w:r>
    </w:p>
    <w:p w:rsidR="00000000" w:rsidRDefault="00D93457">
      <w:pPr>
        <w:pStyle w:val="BodyTextIndent"/>
        <w:ind w:left="0" w:firstLine="0"/>
        <w:rPr>
          <w:color w:val="FF0000"/>
        </w:rPr>
      </w:pPr>
      <w:proofErr w:type="gramStart"/>
      <w:r>
        <w:t>Figure 1.</w:t>
      </w:r>
      <w:proofErr w:type="gramEnd"/>
      <w:r>
        <w:t xml:space="preserve">  </w:t>
      </w:r>
      <w:proofErr w:type="gramStart"/>
      <w:r>
        <w:t xml:space="preserve">Passage histories (full and partial path) at The Dalles Dam for the radio-tagged groups </w:t>
      </w:r>
      <w:r>
        <w:t>from Lower Granite, McNary, and John Day dams.</w:t>
      </w:r>
      <w:proofErr w:type="gramEnd"/>
    </w:p>
    <w:p w:rsidR="00000000" w:rsidRDefault="00D93457">
      <w:pPr>
        <w:pStyle w:val="BodyTextIndent"/>
        <w:ind w:left="0" w:firstLine="0"/>
        <w:rPr>
          <w:b/>
          <w:bCs/>
        </w:rPr>
      </w:pPr>
    </w:p>
    <w:p w:rsidR="00000000" w:rsidRDefault="00D93457">
      <w:pPr>
        <w:pStyle w:val="BodyTextIndent"/>
        <w:ind w:left="720" w:firstLine="0"/>
        <w:rPr>
          <w:b/>
          <w:bCs/>
        </w:rPr>
      </w:pPr>
      <w:r>
        <w:rPr>
          <w:b/>
          <w:bCs/>
        </w:rPr>
        <w:t xml:space="preserve">Spillway </w:t>
      </w:r>
    </w:p>
    <w:p w:rsidR="00000000" w:rsidRDefault="00D93457">
      <w:pPr>
        <w:pStyle w:val="BodyTextIndent"/>
        <w:ind w:left="0"/>
        <w:rPr>
          <w:color w:val="FF0000"/>
        </w:rPr>
      </w:pPr>
      <w:r>
        <w:t xml:space="preserve">Overall, 67% (71/106) of radio-tagged kelts with full passage histories passed TDA during spill.  Of these, 87% (62/71) passed via the spillway, 11% (8/71) through the sluiceway, and one </w:t>
      </w:r>
      <w:proofErr w:type="gramStart"/>
      <w:r>
        <w:t>kelt</w:t>
      </w:r>
      <w:proofErr w:type="gramEnd"/>
      <w:r>
        <w:t xml:space="preserve"> passed</w:t>
      </w:r>
      <w:r>
        <w:t xml:space="preserve"> a turbine unit.  During 30% spill, project </w:t>
      </w:r>
      <w:proofErr w:type="gramStart"/>
      <w:r>
        <w:t>kelt</w:t>
      </w:r>
      <w:proofErr w:type="gramEnd"/>
      <w:r>
        <w:t xml:space="preserve"> passage efficiency (KPE) was 99%.  Kelt spillway efficiency (SE) was the above described 87% (62/ [62 + 8 + 1]), and spill effectiveness (SF) was 2.9:1 (0.87/0.30).</w:t>
      </w:r>
    </w:p>
    <w:p w:rsidR="00000000" w:rsidRDefault="00D93457">
      <w:pPr>
        <w:pStyle w:val="BodyTextIndent"/>
        <w:ind w:left="0" w:firstLine="0"/>
        <w:rPr>
          <w:b/>
          <w:bCs/>
          <w:i/>
          <w:iCs/>
          <w:color w:val="FF0000"/>
        </w:rPr>
      </w:pPr>
    </w:p>
    <w:p w:rsidR="00000000" w:rsidRDefault="00D93457">
      <w:pPr>
        <w:pStyle w:val="BodyTextIndent"/>
        <w:ind w:left="720" w:firstLine="0"/>
        <w:rPr>
          <w:b/>
          <w:bCs/>
        </w:rPr>
      </w:pPr>
      <w:r>
        <w:rPr>
          <w:b/>
          <w:bCs/>
        </w:rPr>
        <w:t xml:space="preserve">Powerhouse </w:t>
      </w:r>
    </w:p>
    <w:p w:rsidR="00000000" w:rsidRDefault="00D93457">
      <w:pPr>
        <w:pStyle w:val="BodyTextIndent"/>
        <w:ind w:left="0"/>
      </w:pPr>
      <w:r>
        <w:t>Passage through turbine units</w:t>
      </w:r>
      <w:r>
        <w:t xml:space="preserve"> was ancillary to spillway or sluiceway passage.  Overall, KSLPE was 69% (27</w:t>
      </w:r>
      <w:proofErr w:type="gramStart"/>
      <w:r>
        <w:t>/[</w:t>
      </w:r>
      <w:proofErr w:type="gramEnd"/>
      <w:r>
        <w:t>27+12]).  The majority (77%; 27/35) of kelts that were contacted passing TDA during non-spill periods were from JDD</w:t>
      </w:r>
      <w:proofErr w:type="gramStart"/>
      <w:r>
        <w:t xml:space="preserve">.   </w:t>
      </w:r>
      <w:proofErr w:type="gramEnd"/>
      <w:r>
        <w:t>Most kelts (83%; 10/12) detected passing through turbine un</w:t>
      </w:r>
      <w:r>
        <w:t>its at TDA were tagged and released at JDD.</w:t>
      </w:r>
    </w:p>
    <w:p w:rsidR="00000000" w:rsidRDefault="00D93457">
      <w:pPr>
        <w:pStyle w:val="BodyTextIndent"/>
        <w:ind w:left="720" w:firstLine="0"/>
        <w:rPr>
          <w:b/>
          <w:bCs/>
        </w:rPr>
      </w:pPr>
    </w:p>
    <w:p w:rsidR="00000000" w:rsidRDefault="00D93457">
      <w:pPr>
        <w:pStyle w:val="BodyTextIndent"/>
        <w:ind w:left="720" w:firstLine="0"/>
        <w:rPr>
          <w:b/>
          <w:bCs/>
        </w:rPr>
      </w:pPr>
      <w:r>
        <w:rPr>
          <w:b/>
          <w:bCs/>
        </w:rPr>
        <w:t xml:space="preserve">Sluiceway occlusion test </w:t>
      </w:r>
    </w:p>
    <w:p w:rsidR="00000000" w:rsidRDefault="00D93457">
      <w:pPr>
        <w:pStyle w:val="BodyTextIndent"/>
        <w:ind w:left="0"/>
      </w:pPr>
      <w:r>
        <w:t>Twenty-two kelts passed through the sluiceway during tests of turbine intake occlusion (blocked trash racks).  Sluiceway passage was almost equally divided between occluded (55%; 12/22)</w:t>
      </w:r>
      <w:r>
        <w:t xml:space="preserve"> and un-occluded periods (45%; 10/22).  All (n=12) of the kelts that passed turbine units did so under occluded conditions.</w:t>
      </w:r>
    </w:p>
    <w:p w:rsidR="00000000" w:rsidRDefault="00D93457">
      <w:pPr>
        <w:pStyle w:val="BodyTextIndent"/>
        <w:ind w:left="720"/>
        <w:rPr>
          <w:b/>
        </w:rPr>
      </w:pPr>
    </w:p>
    <w:p w:rsidR="00000000" w:rsidRDefault="00D93457">
      <w:pPr>
        <w:pStyle w:val="BodyTextIndent"/>
        <w:ind w:left="720" w:firstLine="0"/>
        <w:rPr>
          <w:bCs/>
        </w:rPr>
      </w:pPr>
      <w:r>
        <w:rPr>
          <w:b/>
        </w:rPr>
        <w:t>Time of passage</w:t>
      </w:r>
      <w:r>
        <w:rPr>
          <w:bCs/>
        </w:rPr>
        <w:t xml:space="preserve"> </w:t>
      </w:r>
      <w:r>
        <w:rPr>
          <w:b/>
        </w:rPr>
        <w:t>(diel)</w:t>
      </w:r>
    </w:p>
    <w:p w:rsidR="00000000" w:rsidRDefault="00D93457">
      <w:pPr>
        <w:pStyle w:val="BodyTextIndent"/>
        <w:ind w:left="0"/>
      </w:pPr>
      <w:r>
        <w:rPr>
          <w:bCs/>
        </w:rPr>
        <w:t xml:space="preserve">Much (75%; 80/106) of </w:t>
      </w:r>
      <w:proofErr w:type="gramStart"/>
      <w:r>
        <w:rPr>
          <w:bCs/>
        </w:rPr>
        <w:t>kelt</w:t>
      </w:r>
      <w:proofErr w:type="gramEnd"/>
      <w:r>
        <w:rPr>
          <w:bCs/>
        </w:rPr>
        <w:t xml:space="preserve"> passage occurred during daytime hours (05:00-20:59).  Most kelts (82%; 54/66) pas</w:t>
      </w:r>
      <w:r>
        <w:rPr>
          <w:bCs/>
        </w:rPr>
        <w:t xml:space="preserve">sed the spillway during the daytime.  Similarly, many kelts passed the sluiceway (71%; 20/28) during daylight hours.  Turbine passage was equally divided (50%; 6/12) between day and night periods.       </w:t>
      </w:r>
    </w:p>
    <w:p w:rsidR="00000000" w:rsidRDefault="00D93457">
      <w:pPr>
        <w:pStyle w:val="BodyTextIndent"/>
        <w:ind w:left="0" w:firstLine="0"/>
        <w:rPr>
          <w:color w:val="FF0000"/>
        </w:rPr>
      </w:pPr>
      <w:r>
        <w:rPr>
          <w:b/>
          <w:bCs/>
          <w:i/>
          <w:iCs/>
          <w:color w:val="FF0000"/>
        </w:rPr>
        <w:t xml:space="preserve"> </w:t>
      </w:r>
      <w:r>
        <w:rPr>
          <w:color w:val="FF0000"/>
        </w:rPr>
        <w:tab/>
      </w:r>
    </w:p>
    <w:p w:rsidR="00000000" w:rsidRDefault="00D93457">
      <w:pPr>
        <w:pStyle w:val="BodyTextIndent"/>
        <w:ind w:left="0"/>
        <w:rPr>
          <w:b/>
        </w:rPr>
      </w:pPr>
      <w:r>
        <w:rPr>
          <w:b/>
        </w:rPr>
        <w:t>Behavior</w:t>
      </w:r>
    </w:p>
    <w:p w:rsidR="00000000" w:rsidRDefault="00D93457">
      <w:pPr>
        <w:pStyle w:val="BodyTextIndent"/>
        <w:ind w:left="0"/>
      </w:pPr>
      <w:r>
        <w:t>In the TDA forebay, telemetry data indic</w:t>
      </w:r>
      <w:r>
        <w:t xml:space="preserve">ates that kelts displayed a greater tendency for searching and milling behavior (CNODC) during periods without spill (n=35) than during periods with spill (n=73; 3.5 versus 0.5 CNODC; Wilcoxon two-sample test, normal approximation, two-sided, DF = 34, P &lt; </w:t>
      </w:r>
      <w:r>
        <w:t>0.0001).  Similarly, forebay residence times of kelts were significantly longer before spill (n=35) than during spill (n=71; 21:13 versus 4:59 means, 10:19 h versus 1:11 medians; Wilcoxon two-sample test, normal approximation, two-sided, DF = 34, P &lt; 0.000</w:t>
      </w:r>
      <w:r>
        <w:t>1).</w:t>
      </w:r>
    </w:p>
    <w:p w:rsidR="00000000" w:rsidRDefault="00D93457">
      <w:pPr>
        <w:pStyle w:val="BodyTextIndent"/>
        <w:ind w:left="0" w:firstLine="0"/>
        <w:rPr>
          <w:b/>
          <w:bCs/>
        </w:rPr>
      </w:pPr>
      <w:r>
        <w:rPr>
          <w:b/>
          <w:bCs/>
        </w:rPr>
        <w:lastRenderedPageBreak/>
        <w:t>Passage - Bonneville Dam</w:t>
      </w:r>
    </w:p>
    <w:p w:rsidR="00000000" w:rsidRDefault="00D93457">
      <w:pPr>
        <w:pStyle w:val="BodyTextIndent"/>
        <w:ind w:left="0"/>
      </w:pPr>
      <w:r>
        <w:t>At Bonneville Dam, complete passage histories were documented for 63% (133/212) of kelts released from McN and JDD dams (Figure 2.).  Additionally, 4% (9/212) of the kelts released from LGR generated complete passage histories.</w:t>
      </w:r>
      <w:r>
        <w:t xml:space="preserve">  Overall, 13% (19/142) of kelts were detected passing Powerhouse I, 24% (34/142) passed through the spillway, and 63% (89/142) of kelts were detected passing Powerhouse II. </w:t>
      </w:r>
    </w:p>
    <w:p w:rsidR="00000000" w:rsidRDefault="00D93457">
      <w:pPr>
        <w:pStyle w:val="BodyTextIndent"/>
        <w:ind w:left="0" w:firstLine="0"/>
        <w:rPr>
          <w:rFonts w:ascii="Arial" w:hAnsi="Arial" w:cs="Arial"/>
          <w:sz w:val="20"/>
        </w:rPr>
      </w:pPr>
      <w:r>
        <w:rPr>
          <w:i/>
          <w:iCs/>
        </w:rPr>
        <w:tab/>
      </w:r>
      <w:r>
        <w:object w:dxaOrig="9599" w:dyaOrig="4711">
          <v:shape id="_x0000_i1026" type="#_x0000_t75" style="width:6in;height:208.7pt" o:ole="">
            <v:imagedata r:id="rId16" o:title="" croptop="929f"/>
          </v:shape>
          <o:OLEObject Type="Embed" ProgID="PBrush" ShapeID="_x0000_i1026" DrawAspect="Content" ObjectID="_1396706736" r:id="rId17"/>
        </w:object>
      </w:r>
      <w:r>
        <w:rPr>
          <w:rFonts w:ascii="Arial" w:hAnsi="Arial" w:cs="Arial"/>
          <w:sz w:val="20"/>
        </w:rPr>
        <w:t xml:space="preserve"> </w:t>
      </w:r>
    </w:p>
    <w:p w:rsidR="00000000" w:rsidRDefault="00D93457">
      <w:pPr>
        <w:pStyle w:val="BodyTextIndent"/>
        <w:ind w:left="0" w:firstLine="0"/>
        <w:rPr>
          <w:rFonts w:ascii="Arial" w:hAnsi="Arial" w:cs="Arial"/>
          <w:sz w:val="20"/>
        </w:rPr>
      </w:pPr>
    </w:p>
    <w:p w:rsidR="00000000" w:rsidRDefault="00D93457">
      <w:pPr>
        <w:pStyle w:val="BodyTextIndent"/>
        <w:ind w:left="0" w:firstLine="0"/>
        <w:rPr>
          <w:rFonts w:ascii="Arial" w:hAnsi="Arial" w:cs="Arial"/>
          <w:sz w:val="20"/>
        </w:rPr>
      </w:pPr>
      <w:proofErr w:type="gramStart"/>
      <w:r>
        <w:rPr>
          <w:rFonts w:ascii="Arial" w:hAnsi="Arial" w:cs="Arial"/>
          <w:sz w:val="20"/>
        </w:rPr>
        <w:t>Figure 2.</w:t>
      </w:r>
      <w:proofErr w:type="gramEnd"/>
      <w:r>
        <w:rPr>
          <w:rFonts w:ascii="Arial" w:hAnsi="Arial" w:cs="Arial"/>
          <w:sz w:val="20"/>
        </w:rPr>
        <w:t xml:space="preserve">  </w:t>
      </w:r>
      <w:proofErr w:type="gramStart"/>
      <w:r>
        <w:rPr>
          <w:rFonts w:ascii="Arial" w:hAnsi="Arial" w:cs="Arial"/>
          <w:sz w:val="20"/>
        </w:rPr>
        <w:t>Passage histories (full and partial path) at Bo</w:t>
      </w:r>
      <w:r>
        <w:rPr>
          <w:rFonts w:ascii="Arial" w:hAnsi="Arial" w:cs="Arial"/>
          <w:sz w:val="20"/>
        </w:rPr>
        <w:t>nneville Dam for the radio-tagged groups from Lower Granite, McNary, and John Day dams.</w:t>
      </w:r>
      <w:proofErr w:type="gramEnd"/>
      <w:r>
        <w:rPr>
          <w:rFonts w:ascii="Arial" w:hAnsi="Arial" w:cs="Arial"/>
          <w:sz w:val="20"/>
        </w:rPr>
        <w:t xml:space="preserve"> </w:t>
      </w:r>
    </w:p>
    <w:p w:rsidR="00000000" w:rsidRDefault="00D93457">
      <w:pPr>
        <w:pStyle w:val="BodyTextIndent"/>
        <w:ind w:left="0"/>
        <w:rPr>
          <w:b/>
          <w:bCs/>
        </w:rPr>
      </w:pPr>
    </w:p>
    <w:p w:rsidR="00000000" w:rsidRDefault="00D93457">
      <w:pPr>
        <w:pStyle w:val="BodyTextIndent"/>
        <w:ind w:left="0"/>
        <w:rPr>
          <w:b/>
          <w:bCs/>
          <w:color w:val="FF0000"/>
        </w:rPr>
      </w:pPr>
      <w:r>
        <w:rPr>
          <w:b/>
          <w:bCs/>
        </w:rPr>
        <w:t>Powerhouse I</w:t>
      </w:r>
    </w:p>
    <w:p w:rsidR="00000000" w:rsidRDefault="00D93457">
      <w:pPr>
        <w:pStyle w:val="BodyText"/>
        <w:ind w:firstLine="720"/>
      </w:pPr>
      <w:r>
        <w:t xml:space="preserve">Overall, 13% (19/142) of all the tagged kelts passed through PH I.  </w:t>
      </w:r>
      <w:proofErr w:type="gramStart"/>
      <w:r>
        <w:t>All  (</w:t>
      </w:r>
      <w:proofErr w:type="gramEnd"/>
      <w:r>
        <w:t>n=17) of the kelts that passed through non-turbine routes passed through the ic</w:t>
      </w:r>
      <w:r>
        <w:t xml:space="preserve">e and trash sluiceway.  Kelt sluice passage efficiency at PH I was 89% (17 </w:t>
      </w:r>
      <w:proofErr w:type="gramStart"/>
      <w:r>
        <w:t>/[</w:t>
      </w:r>
      <w:proofErr w:type="gramEnd"/>
      <w:r>
        <w:t xml:space="preserve">17 + 2]).  </w:t>
      </w:r>
    </w:p>
    <w:p w:rsidR="00000000" w:rsidRDefault="00D93457">
      <w:pPr>
        <w:pStyle w:val="BodyTextIndent"/>
        <w:ind w:left="720" w:firstLine="0"/>
        <w:jc w:val="both"/>
        <w:rPr>
          <w:b/>
        </w:rPr>
      </w:pPr>
    </w:p>
    <w:p w:rsidR="00000000" w:rsidRDefault="00D93457">
      <w:pPr>
        <w:pStyle w:val="BodyTextIndent"/>
        <w:ind w:left="720" w:firstLine="0"/>
        <w:jc w:val="both"/>
        <w:rPr>
          <w:b/>
          <w:color w:val="FF0000"/>
        </w:rPr>
      </w:pPr>
      <w:r>
        <w:rPr>
          <w:b/>
        </w:rPr>
        <w:t>Powerhouse II</w:t>
      </w:r>
    </w:p>
    <w:p w:rsidR="00000000" w:rsidRDefault="00D93457">
      <w:pPr>
        <w:pStyle w:val="BodyTextIndent"/>
        <w:ind w:left="0"/>
      </w:pPr>
      <w:r>
        <w:t xml:space="preserve">Of kelts with complete passage histories, 63% (89/142) were detected passing through PH II.  Kelt guidance efficiency at PH II was 52% (46 </w:t>
      </w:r>
      <w:proofErr w:type="gramStart"/>
      <w:r>
        <w:t>/[</w:t>
      </w:r>
      <w:proofErr w:type="gramEnd"/>
      <w:r>
        <w:t xml:space="preserve">46 + 43]). </w:t>
      </w:r>
      <w:r>
        <w:t xml:space="preserve"> </w:t>
      </w:r>
    </w:p>
    <w:p w:rsidR="00000000" w:rsidRDefault="00D93457">
      <w:pPr>
        <w:pStyle w:val="BodyTextIndent"/>
        <w:ind w:left="720" w:firstLine="0"/>
        <w:jc w:val="both"/>
        <w:rPr>
          <w:b/>
        </w:rPr>
      </w:pPr>
    </w:p>
    <w:p w:rsidR="00000000" w:rsidRDefault="00D93457">
      <w:pPr>
        <w:pStyle w:val="BodyTextIndent"/>
        <w:ind w:left="720" w:firstLine="0"/>
        <w:jc w:val="both"/>
        <w:rPr>
          <w:b/>
        </w:rPr>
      </w:pPr>
      <w:r>
        <w:rPr>
          <w:b/>
        </w:rPr>
        <w:t>Spillway</w:t>
      </w:r>
    </w:p>
    <w:p w:rsidR="00000000" w:rsidRDefault="00D93457">
      <w:pPr>
        <w:pStyle w:val="BodyTextIndent"/>
        <w:ind w:left="0"/>
      </w:pPr>
      <w:r>
        <w:t xml:space="preserve">Overall, 24% (34/142) of kelts with complete passage histories were documented passing via the spillway.  </w:t>
      </w:r>
    </w:p>
    <w:p w:rsidR="00000000" w:rsidRDefault="00D93457">
      <w:pPr>
        <w:pStyle w:val="BodyTextIndent"/>
        <w:ind w:left="0"/>
        <w:rPr>
          <w:b/>
          <w:bCs/>
        </w:rPr>
      </w:pPr>
    </w:p>
    <w:p w:rsidR="00000000" w:rsidRDefault="00D93457">
      <w:pPr>
        <w:pStyle w:val="BodyTextIndent"/>
        <w:ind w:left="0"/>
        <w:rPr>
          <w:b/>
          <w:bCs/>
        </w:rPr>
      </w:pPr>
      <w:r>
        <w:rPr>
          <w:b/>
          <w:bCs/>
        </w:rPr>
        <w:t>Adult Attraction Spill - 2% (1 May- 15 May)</w:t>
      </w:r>
    </w:p>
    <w:p w:rsidR="00000000" w:rsidRDefault="00D93457">
      <w:pPr>
        <w:pStyle w:val="BodyTextIndent"/>
        <w:ind w:left="0"/>
      </w:pPr>
      <w:r>
        <w:t>Prior to 37% spill, complete passage histories were documented for 52% (74/142) of kelts det</w:t>
      </w:r>
      <w:r>
        <w:t>ected passing Bonneville Dam.  Of these, 80% (59/74) passed through PH II and 20% (15/74) passed through PH I.  During 2% spill, KPE was 54% (13</w:t>
      </w:r>
      <w:r>
        <w:rPr>
          <w:vertAlign w:val="superscript"/>
        </w:rPr>
        <w:t xml:space="preserve"> PH I ITS</w:t>
      </w:r>
      <w:r>
        <w:t xml:space="preserve"> + 27</w:t>
      </w:r>
      <w:r>
        <w:rPr>
          <w:vertAlign w:val="superscript"/>
        </w:rPr>
        <w:t xml:space="preserve"> PH II JBS</w:t>
      </w:r>
      <w:r>
        <w:t xml:space="preserve"> / [40 + 2</w:t>
      </w:r>
      <w:r>
        <w:rPr>
          <w:vertAlign w:val="superscript"/>
        </w:rPr>
        <w:t xml:space="preserve">PH I-TU </w:t>
      </w:r>
      <w:r>
        <w:t>+ 32</w:t>
      </w:r>
      <w:r>
        <w:rPr>
          <w:vertAlign w:val="superscript"/>
        </w:rPr>
        <w:t>PH II-TU</w:t>
      </w:r>
      <w:r>
        <w:t xml:space="preserve">]).  Most kelts 82% (61/74) passed the dam in the initial </w:t>
      </w:r>
      <w:r>
        <w:t xml:space="preserve">forebay they entered.  Proportions of kelts entering forebay areas were similar to discharges through the areas.  At PH I, the spillway, and PH II, 8%, 10%, and 82% of kelts initially entered the respective forebay areas (Figure 3).  </w:t>
      </w:r>
    </w:p>
    <w:p w:rsidR="00000000" w:rsidRDefault="003623AF">
      <w:pPr>
        <w:pStyle w:val="Date"/>
      </w:pPr>
      <w:r>
        <w:rPr>
          <w:noProof/>
        </w:rPr>
        <w:lastRenderedPageBreak/>
        <w:drawing>
          <wp:inline distT="0" distB="0" distL="0" distR="0">
            <wp:extent cx="5480050" cy="2955290"/>
            <wp:effectExtent l="19050" t="0" r="6350" b="0"/>
            <wp:docPr id="4" name="Picture 4" descr="F:\Kpic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Kpicb1.bmp"/>
                    <pic:cNvPicPr>
                      <a:picLocks noChangeAspect="1" noChangeArrowheads="1"/>
                    </pic:cNvPicPr>
                  </pic:nvPicPr>
                  <pic:blipFill>
                    <a:blip r:embed="rId18" cstate="print"/>
                    <a:srcRect t="2699" b="5577"/>
                    <a:stretch>
                      <a:fillRect/>
                    </a:stretch>
                  </pic:blipFill>
                  <pic:spPr bwMode="auto">
                    <a:xfrm>
                      <a:off x="0" y="0"/>
                      <a:ext cx="5480050" cy="2955290"/>
                    </a:xfrm>
                    <a:prstGeom prst="rect">
                      <a:avLst/>
                    </a:prstGeom>
                    <a:noFill/>
                    <a:ln w="9525">
                      <a:noFill/>
                      <a:miter lim="800000"/>
                      <a:headEnd/>
                      <a:tailEnd/>
                    </a:ln>
                  </pic:spPr>
                </pic:pic>
              </a:graphicData>
            </a:graphic>
          </wp:inline>
        </w:drawing>
      </w:r>
    </w:p>
    <w:p w:rsidR="00000000" w:rsidRDefault="00D93457">
      <w:pPr>
        <w:pStyle w:val="BodyTextIndent"/>
        <w:ind w:left="0" w:firstLine="0"/>
        <w:jc w:val="both"/>
        <w:rPr>
          <w:rFonts w:ascii="Arial" w:hAnsi="Arial" w:cs="Arial"/>
          <w:sz w:val="20"/>
        </w:rPr>
      </w:pPr>
    </w:p>
    <w:p w:rsidR="00000000" w:rsidRDefault="00D93457">
      <w:pPr>
        <w:pStyle w:val="BodyTextIndent"/>
        <w:ind w:left="0" w:firstLine="0"/>
        <w:jc w:val="both"/>
        <w:rPr>
          <w:rFonts w:ascii="Arial" w:hAnsi="Arial" w:cs="Arial"/>
          <w:sz w:val="20"/>
        </w:rPr>
      </w:pPr>
      <w:proofErr w:type="gramStart"/>
      <w:r>
        <w:rPr>
          <w:rFonts w:ascii="Arial" w:hAnsi="Arial" w:cs="Arial"/>
          <w:sz w:val="20"/>
        </w:rPr>
        <w:t>Figure 3.</w:t>
      </w:r>
      <w:proofErr w:type="gramEnd"/>
      <w:r>
        <w:rPr>
          <w:rFonts w:ascii="Arial" w:hAnsi="Arial" w:cs="Arial"/>
          <w:sz w:val="20"/>
        </w:rPr>
        <w:t xml:space="preserve">  Number </w:t>
      </w:r>
      <w:r>
        <w:rPr>
          <w:rFonts w:ascii="Arial" w:hAnsi="Arial" w:cs="Arial"/>
          <w:sz w:val="20"/>
        </w:rPr>
        <w:t>of radio-tagged kelts entering each forebay at Bonneville Dam during the weeks of adult attraction spill and the number that passed a different forebay than the one they entered.  Shown are flow ranges for each forebay 1 April through 15 May.</w:t>
      </w:r>
    </w:p>
    <w:p w:rsidR="00000000" w:rsidRDefault="00D93457">
      <w:pPr>
        <w:pStyle w:val="BodyTextIndent"/>
        <w:ind w:left="0" w:firstLine="0"/>
        <w:jc w:val="both"/>
        <w:rPr>
          <w:b/>
          <w:bCs/>
        </w:rPr>
      </w:pPr>
    </w:p>
    <w:p w:rsidR="00000000" w:rsidRDefault="00D93457">
      <w:pPr>
        <w:pStyle w:val="BodyTextIndent"/>
        <w:ind w:left="0"/>
        <w:jc w:val="both"/>
        <w:rPr>
          <w:b/>
          <w:bCs/>
          <w:i/>
          <w:iCs/>
        </w:rPr>
      </w:pPr>
      <w:r>
        <w:rPr>
          <w:b/>
          <w:bCs/>
        </w:rPr>
        <w:t>Spill -37% (</w:t>
      </w:r>
      <w:r>
        <w:rPr>
          <w:b/>
          <w:bCs/>
        </w:rPr>
        <w:t>16 May -16 June)</w:t>
      </w:r>
    </w:p>
    <w:p w:rsidR="00000000" w:rsidRDefault="00D93457">
      <w:pPr>
        <w:pStyle w:val="BodyTextIndent"/>
        <w:tabs>
          <w:tab w:val="left" w:pos="-720"/>
        </w:tabs>
        <w:ind w:left="0" w:firstLine="0"/>
      </w:pPr>
      <w:r>
        <w:tab/>
        <w:t>During 37% spill, complete passage histories were produced for 48% (68/142) of kelts passing Bonneville Dam.  Of these, 50% (34/68) passed through the spillway, 44% (30/68) passed through PH II, and 6% (4/68) passed through PH I.  At PH I</w:t>
      </w:r>
      <w:r>
        <w:t xml:space="preserve">I, </w:t>
      </w:r>
      <w:proofErr w:type="gramStart"/>
      <w:r>
        <w:t>kelt</w:t>
      </w:r>
      <w:proofErr w:type="gramEnd"/>
      <w:r>
        <w:t xml:space="preserve"> KGE was 63% (19 / [19 + 11]).  At PH I, KSLPE was 100% (4 / [4 + 0]).  Project </w:t>
      </w:r>
      <w:proofErr w:type="gramStart"/>
      <w:r>
        <w:t>kelt</w:t>
      </w:r>
      <w:proofErr w:type="gramEnd"/>
      <w:r>
        <w:t xml:space="preserve"> passage efficiency was 84% (34</w:t>
      </w:r>
      <w:r>
        <w:rPr>
          <w:vertAlign w:val="superscript"/>
        </w:rPr>
        <w:t>spill</w:t>
      </w:r>
      <w:r>
        <w:t xml:space="preserve"> + 4</w:t>
      </w:r>
      <w:r>
        <w:rPr>
          <w:vertAlign w:val="superscript"/>
        </w:rPr>
        <w:t xml:space="preserve">PH I ITS </w:t>
      </w:r>
      <w:r>
        <w:t>+ 19</w:t>
      </w:r>
      <w:r>
        <w:rPr>
          <w:vertAlign w:val="superscript"/>
        </w:rPr>
        <w:t>PH II JBS</w:t>
      </w:r>
      <w:r>
        <w:t>/ [57 + 11</w:t>
      </w:r>
      <w:r>
        <w:rPr>
          <w:vertAlign w:val="superscript"/>
        </w:rPr>
        <w:t>PH II- TU</w:t>
      </w:r>
      <w:r>
        <w:t>]).  Spillway efficiency (SE) was 50% (34 / [57 + 11]), and spill effectiveness (SF)</w:t>
      </w:r>
      <w:r>
        <w:t xml:space="preserve"> was 1.4 (0.5 / [0.37]).  </w:t>
      </w:r>
    </w:p>
    <w:p w:rsidR="00000000" w:rsidRDefault="00D93457">
      <w:pPr>
        <w:pStyle w:val="BodyTextIndent"/>
        <w:tabs>
          <w:tab w:val="left" w:pos="-720"/>
        </w:tabs>
        <w:ind w:left="0" w:firstLine="0"/>
      </w:pPr>
    </w:p>
    <w:p w:rsidR="00000000" w:rsidRDefault="00D93457">
      <w:pPr>
        <w:pStyle w:val="BodyTextIndent"/>
        <w:tabs>
          <w:tab w:val="left" w:pos="-720"/>
        </w:tabs>
        <w:ind w:left="0" w:firstLine="0"/>
      </w:pPr>
      <w:r>
        <w:rPr>
          <w:b/>
        </w:rPr>
        <w:tab/>
        <w:t>Behavior</w:t>
      </w:r>
    </w:p>
    <w:p w:rsidR="00000000" w:rsidRDefault="00D93457">
      <w:pPr>
        <w:pStyle w:val="BodyTextIndent"/>
        <w:tabs>
          <w:tab w:val="left" w:pos="-720"/>
        </w:tabs>
        <w:ind w:left="0" w:firstLine="0"/>
      </w:pPr>
      <w:r>
        <w:tab/>
        <w:t>Overall, 63% (43/68) of kelts passed through the initial forebay they entered.  Initial forebay entrance proportions at PH II, the spillway, and PH I were 74% (50/68), 25% (17/68), and 1% (1/68), respectively.  Of the</w:t>
      </w:r>
      <w:r>
        <w:t xml:space="preserve"> kelts that switched forebays during spill, there was a shift of 42% of kelts away from the PH II forebay.  Most of these kelts passed through the spillway (Figure 4).  Kelts passing via the spillway (n=34) had significantly shorter final forebay residence</w:t>
      </w:r>
      <w:r>
        <w:t xml:space="preserve"> times than kelts passing via PH I (1:27 versus 4:02 means, 1:07 versus 2:57 medians; Wilcoxon two-sample; n=19; normal approximation, two-sided, DF = 18, P = 0.0036) or PH II (1:27 versus 8:27 means, 1:07 versus 3:46 medians; Wilcoxon two-sample; n=89; no</w:t>
      </w:r>
      <w:r>
        <w:t xml:space="preserve">rmal approximation, two-sided, DF = 33, P = 0.0014). </w:t>
      </w:r>
    </w:p>
    <w:p w:rsidR="00000000" w:rsidRDefault="00D93457">
      <w:pPr>
        <w:pStyle w:val="BodyTextIndent"/>
        <w:tabs>
          <w:tab w:val="left" w:pos="-720"/>
        </w:tabs>
        <w:ind w:left="0" w:firstLine="0"/>
      </w:pPr>
    </w:p>
    <w:p w:rsidR="00000000" w:rsidRDefault="00D93457">
      <w:pPr>
        <w:pStyle w:val="BodyTextIndent"/>
        <w:tabs>
          <w:tab w:val="left" w:pos="-720"/>
        </w:tabs>
        <w:ind w:left="0" w:firstLine="0"/>
      </w:pPr>
    </w:p>
    <w:p w:rsidR="00000000" w:rsidRDefault="00D93457">
      <w:pPr>
        <w:pStyle w:val="BodyTextIndent"/>
        <w:tabs>
          <w:tab w:val="left" w:pos="-720"/>
        </w:tabs>
        <w:ind w:left="0" w:firstLine="0"/>
      </w:pPr>
    </w:p>
    <w:p w:rsidR="00000000" w:rsidRDefault="00D93457">
      <w:pPr>
        <w:pStyle w:val="BodyTextIndent"/>
        <w:tabs>
          <w:tab w:val="left" w:pos="-720"/>
        </w:tabs>
        <w:ind w:left="0" w:firstLine="0"/>
      </w:pPr>
    </w:p>
    <w:p w:rsidR="00000000" w:rsidRDefault="00D93457">
      <w:pPr>
        <w:pStyle w:val="BodyTextIndent"/>
        <w:tabs>
          <w:tab w:val="left" w:pos="-720"/>
        </w:tabs>
        <w:ind w:left="0" w:firstLine="0"/>
      </w:pPr>
    </w:p>
    <w:p w:rsidR="00000000" w:rsidRDefault="00D93457">
      <w:pPr>
        <w:pStyle w:val="BodyTextIndent"/>
        <w:tabs>
          <w:tab w:val="left" w:pos="-720"/>
        </w:tabs>
        <w:ind w:left="0" w:firstLine="0"/>
      </w:pPr>
    </w:p>
    <w:p w:rsidR="00000000" w:rsidRDefault="00D93457">
      <w:pPr>
        <w:pStyle w:val="BodyTextIndent"/>
        <w:tabs>
          <w:tab w:val="left" w:pos="-720"/>
        </w:tabs>
        <w:ind w:left="0" w:firstLine="0"/>
      </w:pPr>
    </w:p>
    <w:p w:rsidR="00000000" w:rsidRDefault="003623AF">
      <w:pPr>
        <w:pStyle w:val="BodyTextIndent"/>
        <w:tabs>
          <w:tab w:val="left" w:pos="-720"/>
        </w:tabs>
        <w:ind w:left="0" w:firstLine="0"/>
      </w:pPr>
      <w:r>
        <w:rPr>
          <w:noProof/>
        </w:rPr>
        <w:drawing>
          <wp:inline distT="0" distB="0" distL="0" distR="0">
            <wp:extent cx="5480050" cy="2855595"/>
            <wp:effectExtent l="19050" t="0" r="6350" b="0"/>
            <wp:docPr id="5" name="Picture 5" descr="F:\Kpicb2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Kpicb2a.bmp"/>
                    <pic:cNvPicPr>
                      <a:picLocks noChangeAspect="1" noChangeArrowheads="1"/>
                    </pic:cNvPicPr>
                  </pic:nvPicPr>
                  <pic:blipFill>
                    <a:blip r:embed="rId19" cstate="print"/>
                    <a:srcRect t="4739" b="6583"/>
                    <a:stretch>
                      <a:fillRect/>
                    </a:stretch>
                  </pic:blipFill>
                  <pic:spPr bwMode="auto">
                    <a:xfrm>
                      <a:off x="0" y="0"/>
                      <a:ext cx="5480050" cy="2855595"/>
                    </a:xfrm>
                    <a:prstGeom prst="rect">
                      <a:avLst/>
                    </a:prstGeom>
                    <a:noFill/>
                    <a:ln w="9525">
                      <a:noFill/>
                      <a:miter lim="800000"/>
                      <a:headEnd/>
                      <a:tailEnd/>
                    </a:ln>
                  </pic:spPr>
                </pic:pic>
              </a:graphicData>
            </a:graphic>
          </wp:inline>
        </w:drawing>
      </w:r>
    </w:p>
    <w:p w:rsidR="00000000" w:rsidRDefault="00D93457">
      <w:pPr>
        <w:pStyle w:val="PlainText"/>
        <w:rPr>
          <w:rFonts w:ascii="Arial" w:hAnsi="Arial" w:cs="Arial"/>
          <w:szCs w:val="24"/>
        </w:rPr>
      </w:pPr>
    </w:p>
    <w:p w:rsidR="00000000" w:rsidRDefault="00D93457">
      <w:pPr>
        <w:pStyle w:val="PlainText"/>
        <w:rPr>
          <w:rFonts w:ascii="Arial" w:hAnsi="Arial" w:cs="Arial"/>
          <w:szCs w:val="24"/>
        </w:rPr>
      </w:pPr>
      <w:proofErr w:type="gramStart"/>
      <w:r>
        <w:rPr>
          <w:rFonts w:ascii="Arial" w:hAnsi="Arial" w:cs="Arial"/>
          <w:szCs w:val="24"/>
        </w:rPr>
        <w:t>Figure 4.</w:t>
      </w:r>
      <w:proofErr w:type="gramEnd"/>
      <w:r>
        <w:rPr>
          <w:rFonts w:ascii="Arial" w:hAnsi="Arial" w:cs="Arial"/>
          <w:szCs w:val="24"/>
        </w:rPr>
        <w:t xml:space="preserve">  Number of radio-tagged kelts entering each forebay at Bonneville Dam during the weeks of spill and the number that passed a different forebay than the one they entered.  Shown are f</w:t>
      </w:r>
      <w:r>
        <w:rPr>
          <w:rFonts w:ascii="Arial" w:hAnsi="Arial" w:cs="Arial"/>
          <w:szCs w:val="24"/>
        </w:rPr>
        <w:t>low ranges for each forebay 16 May through 16 June.</w:t>
      </w:r>
    </w:p>
    <w:p w:rsidR="00000000" w:rsidRDefault="00D93457">
      <w:pPr>
        <w:pStyle w:val="BodyTextIndent"/>
        <w:ind w:left="0"/>
        <w:rPr>
          <w:b/>
        </w:rPr>
      </w:pPr>
    </w:p>
    <w:p w:rsidR="00000000" w:rsidRDefault="00D93457">
      <w:pPr>
        <w:pStyle w:val="BodyTextIndent"/>
        <w:ind w:left="0"/>
        <w:rPr>
          <w:b/>
        </w:rPr>
      </w:pPr>
      <w:r>
        <w:rPr>
          <w:b/>
        </w:rPr>
        <w:t>Time of passage (diel)</w:t>
      </w:r>
    </w:p>
    <w:p w:rsidR="00000000" w:rsidRDefault="00D93457">
      <w:pPr>
        <w:pStyle w:val="BodyTextIndent"/>
        <w:ind w:left="0"/>
      </w:pPr>
      <w:r>
        <w:t xml:space="preserve">Most kelts 79% (112/142), passed through Bonneville Dam during daytime hours </w:t>
      </w:r>
      <w:r>
        <w:rPr>
          <w:bCs/>
        </w:rPr>
        <w:t>(05:00-20:59).  A</w:t>
      </w:r>
      <w:r>
        <w:t>t the PH I sluiceway, spillway, PH II JBS, and PH II turbine units daytime passage pro</w:t>
      </w:r>
      <w:r>
        <w:t xml:space="preserve">portions were 76% (13/17), 80% (28/35), 81% (38/47), and 73% (33/45), respectively. </w:t>
      </w:r>
    </w:p>
    <w:p w:rsidR="00000000" w:rsidRDefault="00D93457">
      <w:pPr>
        <w:pStyle w:val="BodyTextIndent"/>
        <w:tabs>
          <w:tab w:val="left" w:pos="-720"/>
        </w:tabs>
        <w:ind w:left="0" w:firstLine="0"/>
        <w:rPr>
          <w:b/>
        </w:rPr>
      </w:pPr>
    </w:p>
    <w:p w:rsidR="00000000" w:rsidRDefault="00D93457">
      <w:pPr>
        <w:pStyle w:val="BodyTextIndent"/>
        <w:tabs>
          <w:tab w:val="left" w:pos="-720"/>
        </w:tabs>
        <w:ind w:left="0" w:firstLine="0"/>
        <w:rPr>
          <w:b/>
        </w:rPr>
      </w:pPr>
      <w:r>
        <w:rPr>
          <w:b/>
        </w:rPr>
        <w:t xml:space="preserve">Conversion Rates </w:t>
      </w:r>
      <w:r>
        <w:rPr>
          <w:b/>
        </w:rPr>
        <w:tab/>
        <w:t xml:space="preserve"> </w:t>
      </w:r>
    </w:p>
    <w:p w:rsidR="00000000" w:rsidRDefault="00D93457">
      <w:pPr>
        <w:pStyle w:val="BodyTextIndent"/>
        <w:tabs>
          <w:tab w:val="left" w:pos="-720"/>
        </w:tabs>
        <w:ind w:left="0" w:firstLine="0"/>
        <w:rPr>
          <w:bCs/>
        </w:rPr>
      </w:pPr>
      <w:r>
        <w:tab/>
        <w:t xml:space="preserve"> Conversion rates were disparate between kelts released in the Snake and Columbia Rivers.  </w:t>
      </w:r>
      <w:r>
        <w:rPr>
          <w:bCs/>
        </w:rPr>
        <w:t>The majority of kelts released from LGR were not contacted</w:t>
      </w:r>
      <w:r>
        <w:rPr>
          <w:bCs/>
        </w:rPr>
        <w:t xml:space="preserve"> in the Columbia River.  Of the 212 kelts released from LGR, roughly, 3% (7/212) were contacted by the sets of telemetry survival gates below BON.  Similarly, few (n=11) of the kelts released from LGR were documented passing McN.  Four of the LGR kelts pas</w:t>
      </w:r>
      <w:r>
        <w:rPr>
          <w:bCs/>
        </w:rPr>
        <w:t xml:space="preserve">sed McN while FFU personnel were present, and none </w:t>
      </w:r>
      <w:proofErr w:type="gramStart"/>
      <w:r>
        <w:rPr>
          <w:bCs/>
        </w:rPr>
        <w:t>were</w:t>
      </w:r>
      <w:proofErr w:type="gramEnd"/>
      <w:r>
        <w:rPr>
          <w:bCs/>
        </w:rPr>
        <w:t xml:space="preserve"> recaptured at JDD.  </w:t>
      </w:r>
    </w:p>
    <w:p w:rsidR="00000000" w:rsidRDefault="00D93457">
      <w:pPr>
        <w:pStyle w:val="BodyTextIndent"/>
        <w:tabs>
          <w:tab w:val="left" w:pos="-720"/>
        </w:tabs>
        <w:ind w:left="0" w:firstLine="0"/>
        <w:rPr>
          <w:bCs/>
        </w:rPr>
      </w:pPr>
      <w:r>
        <w:rPr>
          <w:bCs/>
        </w:rPr>
        <w:t>Of the 53 kelts released from McN, 58% (31/53) were below BON.  Similarly, of the 159 kelts released at JDD 64% (102/159) were detected below BON.  At JDD, eleven of the radio-tag</w:t>
      </w:r>
      <w:r>
        <w:rPr>
          <w:bCs/>
        </w:rPr>
        <w:t>ged and/or PIT tagged kelts released at McN were recaptured.  Overall, contact rates</w:t>
      </w:r>
      <w:r>
        <w:rPr>
          <w:rStyle w:val="FootnoteReference"/>
          <w:bCs/>
        </w:rPr>
        <w:footnoteReference w:id="9"/>
      </w:r>
      <w:r>
        <w:rPr>
          <w:bCs/>
        </w:rPr>
        <w:t xml:space="preserve"> for the three release groups at the projects, and through the sets of survival-gates can be observed in Figure 5.  </w:t>
      </w:r>
    </w:p>
    <w:p w:rsidR="00000000" w:rsidRDefault="00D93457">
      <w:pPr>
        <w:pStyle w:val="BodyTextIndent"/>
        <w:tabs>
          <w:tab w:val="left" w:pos="-720"/>
        </w:tabs>
        <w:ind w:left="0" w:firstLine="0"/>
        <w:rPr>
          <w:bCs/>
        </w:rPr>
      </w:pPr>
      <w:r>
        <w:rPr>
          <w:bCs/>
        </w:rPr>
        <w:t xml:space="preserve">  </w:t>
      </w:r>
    </w:p>
    <w:p w:rsidR="00000000" w:rsidRDefault="00D93457">
      <w:pPr>
        <w:pStyle w:val="BodyTextIndent"/>
        <w:tabs>
          <w:tab w:val="left" w:pos="-720"/>
        </w:tabs>
        <w:ind w:left="0" w:firstLine="0"/>
        <w:rPr>
          <w:bCs/>
        </w:rPr>
      </w:pPr>
    </w:p>
    <w:p w:rsidR="00000000" w:rsidRDefault="00D93457">
      <w:pPr>
        <w:pStyle w:val="BodyTextIndent"/>
        <w:tabs>
          <w:tab w:val="left" w:pos="-720"/>
        </w:tabs>
        <w:ind w:left="0" w:firstLine="0"/>
        <w:rPr>
          <w:bCs/>
        </w:rPr>
      </w:pPr>
    </w:p>
    <w:p w:rsidR="00000000" w:rsidRDefault="00D93457">
      <w:pPr>
        <w:pStyle w:val="BodyTextIndent"/>
        <w:tabs>
          <w:tab w:val="left" w:pos="-720"/>
        </w:tabs>
        <w:ind w:left="0" w:firstLine="0"/>
        <w:rPr>
          <w:bCs/>
        </w:rPr>
      </w:pPr>
    </w:p>
    <w:p w:rsidR="00000000" w:rsidRDefault="00D93457">
      <w:pPr>
        <w:pStyle w:val="BodyTextIndent"/>
        <w:tabs>
          <w:tab w:val="left" w:pos="-720"/>
        </w:tabs>
        <w:ind w:left="0" w:firstLine="0"/>
        <w:rPr>
          <w:bCs/>
        </w:rPr>
      </w:pPr>
    </w:p>
    <w:p w:rsidR="00000000" w:rsidRDefault="00D93457">
      <w:pPr>
        <w:pStyle w:val="BodyTextIndent"/>
        <w:tabs>
          <w:tab w:val="left" w:pos="-720"/>
        </w:tabs>
        <w:ind w:left="0" w:firstLine="0"/>
      </w:pPr>
      <w:r>
        <w:object w:dxaOrig="12002" w:dyaOrig="8999">
          <v:shape id="_x0000_i1027" type="#_x0000_t75" style="width:426.25pt;height:368.85pt" o:ole="">
            <v:imagedata r:id="rId20" o:title="" croptop="3935f" cropbottom="7862f" cropleft="8208f" cropright="10815f"/>
          </v:shape>
          <o:OLEObject Type="Embed" ProgID="PBrush" ShapeID="_x0000_i1027" DrawAspect="Content" ObjectID="_1396706737" r:id="rId21"/>
        </w:object>
      </w:r>
    </w:p>
    <w:p w:rsidR="00000000" w:rsidRDefault="00D93457">
      <w:pPr>
        <w:pStyle w:val="BodyTextIndent"/>
        <w:tabs>
          <w:tab w:val="left" w:pos="-720"/>
        </w:tabs>
        <w:ind w:left="0" w:firstLine="0"/>
        <w:rPr>
          <w:rFonts w:ascii="Arial" w:hAnsi="Arial" w:cs="Arial"/>
          <w:sz w:val="20"/>
        </w:rPr>
      </w:pPr>
    </w:p>
    <w:p w:rsidR="00000000" w:rsidRDefault="00D93457">
      <w:pPr>
        <w:pStyle w:val="BodyTextIndent"/>
        <w:tabs>
          <w:tab w:val="left" w:pos="-720"/>
        </w:tabs>
        <w:ind w:left="0" w:firstLine="0"/>
        <w:rPr>
          <w:rFonts w:ascii="Arial" w:hAnsi="Arial" w:cs="Arial"/>
          <w:sz w:val="20"/>
        </w:rPr>
      </w:pPr>
      <w:r>
        <w:rPr>
          <w:rFonts w:ascii="Arial" w:hAnsi="Arial" w:cs="Arial"/>
          <w:sz w:val="20"/>
        </w:rPr>
        <w:t>Figure 5</w:t>
      </w:r>
      <w:proofErr w:type="gramStart"/>
      <w:r>
        <w:rPr>
          <w:rFonts w:ascii="Arial" w:hAnsi="Arial" w:cs="Arial"/>
          <w:sz w:val="20"/>
        </w:rPr>
        <w:t>. Conversion and r</w:t>
      </w:r>
      <w:r>
        <w:rPr>
          <w:rFonts w:ascii="Arial" w:hAnsi="Arial" w:cs="Arial"/>
          <w:sz w:val="20"/>
        </w:rPr>
        <w:t>ecapture percentages for the radio-tagged groups from Lower Granite, McNary, and John Day dams.</w:t>
      </w:r>
      <w:proofErr w:type="gramEnd"/>
      <w:r>
        <w:rPr>
          <w:rFonts w:ascii="Arial" w:hAnsi="Arial" w:cs="Arial"/>
          <w:sz w:val="20"/>
        </w:rPr>
        <w:t xml:space="preserve">  At The Dalles Dam, telemetry arrays were not operational for early releases of radio tagged kelts.</w:t>
      </w:r>
    </w:p>
    <w:p w:rsidR="00000000" w:rsidRDefault="00D93457">
      <w:pPr>
        <w:pStyle w:val="BodyTextIndent"/>
        <w:tabs>
          <w:tab w:val="left" w:pos="-720"/>
        </w:tabs>
        <w:ind w:left="0" w:firstLine="0"/>
      </w:pPr>
      <w:r>
        <w:rPr>
          <w:bCs/>
          <w:color w:val="FF0000"/>
        </w:rPr>
        <w:tab/>
      </w:r>
    </w:p>
    <w:p w:rsidR="00000000" w:rsidRDefault="00D93457">
      <w:pPr>
        <w:pStyle w:val="BodyTextIndent"/>
        <w:tabs>
          <w:tab w:val="left" w:pos="-720"/>
        </w:tabs>
        <w:ind w:left="0" w:firstLine="0"/>
        <w:rPr>
          <w:bCs/>
          <w:color w:val="FF0000"/>
        </w:rPr>
      </w:pPr>
      <w:r>
        <w:rPr>
          <w:b/>
        </w:rPr>
        <w:t>Radio-tag Retention</w:t>
      </w:r>
      <w:r>
        <w:rPr>
          <w:bCs/>
          <w:color w:val="FF0000"/>
        </w:rPr>
        <w:tab/>
      </w:r>
    </w:p>
    <w:p w:rsidR="00000000" w:rsidRDefault="00D93457">
      <w:pPr>
        <w:pStyle w:val="BodyTextIndent"/>
        <w:tabs>
          <w:tab w:val="left" w:pos="-720"/>
        </w:tabs>
        <w:ind w:left="0" w:firstLine="0"/>
      </w:pPr>
      <w:r>
        <w:tab/>
        <w:t>After tagging, 11% (6/53) of the rad</w:t>
      </w:r>
      <w:r>
        <w:t>io-tagged kelts released back into the McN bypass were never subsequently contacted.  Similarly, at JDD, 13% (21/159) of radio-tagged and released kelts were never contacted.  During a study of kelt reconditioning</w:t>
      </w:r>
      <w:r>
        <w:rPr>
          <w:rStyle w:val="FootnoteReference"/>
        </w:rPr>
        <w:footnoteReference w:id="10"/>
      </w:r>
      <w:r>
        <w:t>, A. Evans (et al. 2001) found that within</w:t>
      </w:r>
      <w:r>
        <w:t xml:space="preserve"> the first week there was roughly an 8% mortality rate of sampled (anesthesia, PIT-tagging) kelts.</w:t>
      </w:r>
    </w:p>
    <w:p w:rsidR="00000000" w:rsidRDefault="00D93457">
      <w:pPr>
        <w:pStyle w:val="BodyTextIndent"/>
        <w:tabs>
          <w:tab w:val="left" w:pos="-720"/>
        </w:tabs>
        <w:ind w:left="0" w:firstLine="0"/>
        <w:rPr>
          <w:b/>
        </w:rPr>
      </w:pPr>
    </w:p>
    <w:p w:rsidR="00000000" w:rsidRDefault="00D93457">
      <w:pPr>
        <w:pStyle w:val="BodyTextIndent"/>
        <w:tabs>
          <w:tab w:val="left" w:pos="-720"/>
        </w:tabs>
        <w:ind w:left="0" w:firstLine="0"/>
        <w:rPr>
          <w:bCs/>
        </w:rPr>
      </w:pPr>
      <w:r>
        <w:rPr>
          <w:bCs/>
        </w:rPr>
        <w:tab/>
        <w:t>To evaluate the in-river durability of our radio-tag harness, radio-tag retention rates were evaluated in the bypass facilities of projects below Lower Gra</w:t>
      </w:r>
      <w:r>
        <w:rPr>
          <w:bCs/>
        </w:rPr>
        <w:t>nite Dam (i.e., Little Goose, Lower Monumental, and McN dams).  Kelts radio-tagged at LGR were visually marked (floy-tag) to allow evaluation of tag retention.  Results from this test suggest that the majority (99%) of LGR released kelts retained their rad</w:t>
      </w:r>
      <w:r>
        <w:rPr>
          <w:bCs/>
        </w:rPr>
        <w:t>io tags during outmigration through at least McNary Dam (Evans 2002).</w:t>
      </w:r>
    </w:p>
    <w:p w:rsidR="00000000" w:rsidRDefault="00D93457">
      <w:pPr>
        <w:pStyle w:val="BodyTextIndent"/>
        <w:tabs>
          <w:tab w:val="left" w:pos="-720"/>
        </w:tabs>
        <w:ind w:left="0" w:firstLine="0"/>
        <w:rPr>
          <w:b/>
        </w:rPr>
      </w:pPr>
      <w:r>
        <w:rPr>
          <w:bCs/>
        </w:rPr>
        <w:lastRenderedPageBreak/>
        <w:tab/>
        <w:t xml:space="preserve">To evaluate the period in which radio-tags remained affixed to kelts, hatchery kelts were dummy-tagged with methodology replicated at JDD.  </w:t>
      </w:r>
      <w:r>
        <w:t xml:space="preserve">After tagging </w:t>
      </w:r>
      <w:r>
        <w:rPr>
          <w:bCs/>
        </w:rPr>
        <w:t>(PIT; dummy radio tags)</w:t>
      </w:r>
      <w:r>
        <w:t xml:space="preserve">, kelts </w:t>
      </w:r>
      <w:r>
        <w:t xml:space="preserve">were transported in an 1100-liter trailer tank </w:t>
      </w:r>
      <w:r>
        <w:rPr>
          <w:bCs/>
        </w:rPr>
        <w:t>to the BON PH II SMF</w:t>
      </w:r>
      <w:r>
        <w:t xml:space="preserve">.  </w:t>
      </w:r>
      <w:r>
        <w:rPr>
          <w:bCs/>
        </w:rPr>
        <w:t>Kelts were placed in 2 m circular tanks containing oxygenated river water.  All kelts</w:t>
      </w:r>
      <w:r>
        <w:rPr>
          <w:rStyle w:val="FootnoteReference"/>
          <w:bCs/>
        </w:rPr>
        <w:footnoteReference w:id="11"/>
      </w:r>
      <w:r>
        <w:rPr>
          <w:bCs/>
        </w:rPr>
        <w:t xml:space="preserve"> retained their tags for the first 33 days, after which, tags (n=3) were recovered after 34, 42, and</w:t>
      </w:r>
      <w:r>
        <w:rPr>
          <w:bCs/>
        </w:rPr>
        <w:t xml:space="preserve"> 46 d</w:t>
      </w:r>
      <w:r>
        <w:t>ays, respectively (Appendix D)</w:t>
      </w:r>
      <w:r>
        <w:rPr>
          <w:bCs/>
        </w:rPr>
        <w:t>.  As median travel times for kelts released at McNary and John Day dams was 13.6, and 3.5 days, respectively, laboratory and in-river results suggest the majority of kelts released at McNary and John Day dams retained th</w:t>
      </w:r>
      <w:r>
        <w:rPr>
          <w:bCs/>
        </w:rPr>
        <w:t>eir radio-tags for the duration of the study.</w:t>
      </w:r>
    </w:p>
    <w:p w:rsidR="00000000" w:rsidRDefault="00D93457">
      <w:pPr>
        <w:pStyle w:val="BodyTextIndent"/>
        <w:tabs>
          <w:tab w:val="left" w:pos="-720"/>
        </w:tabs>
        <w:ind w:left="0" w:firstLine="0"/>
        <w:rPr>
          <w:b/>
        </w:rPr>
      </w:pPr>
    </w:p>
    <w:p w:rsidR="00000000" w:rsidRDefault="00D93457">
      <w:pPr>
        <w:pStyle w:val="BodyTextIndent"/>
        <w:tabs>
          <w:tab w:val="left" w:pos="-720"/>
        </w:tabs>
        <w:ind w:left="0" w:firstLine="0"/>
        <w:rPr>
          <w:b/>
        </w:rPr>
      </w:pPr>
      <w:r>
        <w:rPr>
          <w:b/>
        </w:rPr>
        <w:t xml:space="preserve">Return Rates </w:t>
      </w:r>
    </w:p>
    <w:p w:rsidR="00000000" w:rsidRDefault="00D93457">
      <w:pPr>
        <w:pStyle w:val="BodyTextIndent"/>
        <w:tabs>
          <w:tab w:val="left" w:pos="-720"/>
        </w:tabs>
        <w:ind w:left="0" w:firstLine="0"/>
        <w:rPr>
          <w:bCs/>
        </w:rPr>
      </w:pPr>
      <w:r>
        <w:rPr>
          <w:bCs/>
        </w:rPr>
        <w:tab/>
        <w:t xml:space="preserve">For the period through September of 2002, nearly 8% (43/563) of kelts PIT tagged in 2001 have been detected ascending upstream through adult PIT tag </w:t>
      </w:r>
      <w:r w:rsidR="005531A5">
        <w:rPr>
          <w:bCs/>
        </w:rPr>
        <w:t>interrogators</w:t>
      </w:r>
      <w:r>
        <w:rPr>
          <w:bCs/>
        </w:rPr>
        <w:t xml:space="preserve"> located at BON, MCN and LGR da</w:t>
      </w:r>
      <w:r>
        <w:rPr>
          <w:bCs/>
        </w:rPr>
        <w:t xml:space="preserve">ms.  In 2001, PIT interrogations were not available from the A or B branch fishways of BON.  Thus, reported return rates are not inclusive of all the steelhead that returned.  That is, steelhead that passed BON PH I that </w:t>
      </w:r>
      <w:proofErr w:type="gramStart"/>
      <w:r>
        <w:rPr>
          <w:bCs/>
        </w:rPr>
        <w:t>were</w:t>
      </w:r>
      <w:proofErr w:type="gramEnd"/>
      <w:r>
        <w:rPr>
          <w:bCs/>
        </w:rPr>
        <w:t xml:space="preserve"> bound for tributaries below LG</w:t>
      </w:r>
      <w:r>
        <w:rPr>
          <w:bCs/>
        </w:rPr>
        <w:t xml:space="preserve">R on the Snake River, or the upper Columbia River were not detected.  </w:t>
      </w:r>
      <w:r>
        <w:t>Returning steelhead, radio and PIT-tagged as kelts during their seaward migration, are providing information about the downstream dam passage routes of successfully returning fish.  Retu</w:t>
      </w:r>
      <w:r>
        <w:t xml:space="preserve">rning steelhead </w:t>
      </w:r>
      <w:proofErr w:type="gramStart"/>
      <w:r>
        <w:t>have</w:t>
      </w:r>
      <w:proofErr w:type="gramEnd"/>
      <w:r>
        <w:t xml:space="preserve"> predominately passed through spillways, sluiceways, and bypass systems.  Despite this, </w:t>
      </w:r>
      <w:proofErr w:type="gramStart"/>
      <w:r>
        <w:t>small sample sizes in returns from all the available passage routes inhibits</w:t>
      </w:r>
      <w:proofErr w:type="gramEnd"/>
      <w:r>
        <w:t xml:space="preserve"> our ability to make stronger statements on the affects of specific hydr</w:t>
      </w:r>
      <w:r>
        <w:t>opower systems (e.g., turbine units) on steelhead return rates.  This is especially true as some kelts that have passed one or more turbine units during downstream migration have returned to the Columbia River on upstream migrations</w:t>
      </w:r>
    </w:p>
    <w:p w:rsidR="00000000" w:rsidRDefault="00D93457">
      <w:pPr>
        <w:pStyle w:val="BodyTextIndent"/>
        <w:tabs>
          <w:tab w:val="left" w:pos="-720"/>
        </w:tabs>
        <w:ind w:left="0" w:firstLine="0"/>
        <w:rPr>
          <w:bCs/>
        </w:rPr>
      </w:pPr>
    </w:p>
    <w:p w:rsidR="00000000" w:rsidRDefault="00D93457">
      <w:pPr>
        <w:pStyle w:val="BodyTextIndent"/>
        <w:tabs>
          <w:tab w:val="left" w:pos="-720"/>
        </w:tabs>
        <w:ind w:left="0" w:firstLine="0"/>
      </w:pPr>
      <w:r>
        <w:rPr>
          <w:bCs/>
        </w:rPr>
        <w:t xml:space="preserve"> </w:t>
      </w: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p>
    <w:p w:rsidR="00000000" w:rsidRDefault="00D93457">
      <w:pPr>
        <w:pStyle w:val="BodyTextIndent"/>
        <w:tabs>
          <w:tab w:val="left" w:pos="-720"/>
        </w:tabs>
        <w:ind w:left="0" w:firstLine="0"/>
        <w:jc w:val="center"/>
        <w:rPr>
          <w:b/>
          <w:caps/>
          <w:sz w:val="28"/>
          <w:u w:val="single"/>
        </w:rPr>
      </w:pPr>
      <w:r>
        <w:rPr>
          <w:b/>
          <w:caps/>
          <w:sz w:val="28"/>
          <w:u w:val="single"/>
        </w:rPr>
        <w:lastRenderedPageBreak/>
        <w:t>Proje</w:t>
      </w:r>
      <w:r>
        <w:rPr>
          <w:b/>
          <w:caps/>
          <w:sz w:val="28"/>
          <w:u w:val="single"/>
        </w:rPr>
        <w:t>ct Summary and Discussion</w:t>
      </w:r>
    </w:p>
    <w:p w:rsidR="00000000" w:rsidRDefault="00D93457">
      <w:pPr>
        <w:pStyle w:val="BodyTextIndent"/>
        <w:ind w:left="0" w:firstLine="0"/>
        <w:rPr>
          <w:b/>
          <w:bCs/>
          <w:color w:val="FF0000"/>
        </w:rPr>
      </w:pPr>
    </w:p>
    <w:p w:rsidR="00000000" w:rsidRDefault="00D93457">
      <w:pPr>
        <w:pStyle w:val="BodyTextIndent"/>
        <w:ind w:left="0"/>
      </w:pPr>
      <w:r>
        <w:rPr>
          <w:b/>
          <w:bCs/>
        </w:rPr>
        <w:t>C</w:t>
      </w:r>
      <w:r>
        <w:t xml:space="preserve">urrent </w:t>
      </w:r>
      <w:proofErr w:type="gramStart"/>
      <w:r>
        <w:t>kelt</w:t>
      </w:r>
      <w:proofErr w:type="gramEnd"/>
      <w:r>
        <w:t xml:space="preserve"> passage information indicates that kelts can be effectively routed past dams using surface flow bypass systems, sluiceways, and spill (Evans 2002, Wertheimer et al. 2001).  These data suggest that protocols (e.g., sp</w:t>
      </w:r>
      <w:r>
        <w:t>ill) and facility modifications (e.g., surface-oriented bypass systems; Ferguson et al. 1998) employed to enhance juvenile project passage efficiencies and survival rates will prove beneficial for kelts.  Continued development of surface flow bypass and co</w:t>
      </w:r>
      <w:r>
        <w:t xml:space="preserve">llector systems in the FCRPS should enhance the collection, project passage efficiencies, effectiveness, and management scenarios available for Columbia Basin steelhead populations.  </w:t>
      </w:r>
    </w:p>
    <w:p w:rsidR="00000000" w:rsidRDefault="00D93457">
      <w:pPr>
        <w:pStyle w:val="BodyText2"/>
      </w:pPr>
      <w:r>
        <w:tab/>
      </w:r>
    </w:p>
    <w:p w:rsidR="00000000" w:rsidRDefault="00D93457">
      <w:pPr>
        <w:pStyle w:val="BodyText2"/>
      </w:pPr>
      <w:r>
        <w:tab/>
        <w:t xml:space="preserve">In 2001, spilling water significantly improved </w:t>
      </w:r>
      <w:proofErr w:type="gramStart"/>
      <w:r>
        <w:t>kelt</w:t>
      </w:r>
      <w:proofErr w:type="gramEnd"/>
      <w:r>
        <w:t xml:space="preserve"> travel rates thro</w:t>
      </w:r>
      <w:r>
        <w:t xml:space="preserve">ugh the monitored FCRPS projects and pools.  Similarly, spill improved project passage efficiencies in the lower Columbia River.  At TDA, the juvenile spill pattern (north spill) at a 30% spill discharge rate generated a </w:t>
      </w:r>
      <w:proofErr w:type="gramStart"/>
      <w:r>
        <w:t>kelt</w:t>
      </w:r>
      <w:proofErr w:type="gramEnd"/>
      <w:r>
        <w:t xml:space="preserve"> spill passage efficiency of 87</w:t>
      </w:r>
      <w:r>
        <w:t xml:space="preserve">%.  Moreover, during spill, </w:t>
      </w:r>
      <w:proofErr w:type="gramStart"/>
      <w:r>
        <w:t>kelt</w:t>
      </w:r>
      <w:proofErr w:type="gramEnd"/>
      <w:r>
        <w:t xml:space="preserve"> project passage efficiency was 99%, and spill effectiveness was 2.9:1.  Similarly, </w:t>
      </w:r>
      <w:proofErr w:type="gramStart"/>
      <w:r>
        <w:t>kelt</w:t>
      </w:r>
      <w:proofErr w:type="gramEnd"/>
      <w:r>
        <w:t xml:space="preserve"> passage efficiency at Bonneville Dam was over 80% during periods of 37% spill.  Further work is needed to broaden our understanding of </w:t>
      </w:r>
      <w:r>
        <w:t xml:space="preserve">the passage efficacy and conversion (survival) of kelts through </w:t>
      </w:r>
      <w:proofErr w:type="gramStart"/>
      <w:r>
        <w:t>spillway’s</w:t>
      </w:r>
      <w:proofErr w:type="gramEnd"/>
      <w:r>
        <w:t xml:space="preserve"> under varying levels of spill.</w:t>
      </w:r>
      <w:r>
        <w:rPr>
          <w:color w:val="FF0000"/>
        </w:rPr>
        <w:t xml:space="preserve">    </w:t>
      </w:r>
    </w:p>
    <w:p w:rsidR="00000000" w:rsidRDefault="00D93457">
      <w:pPr>
        <w:pStyle w:val="BodyTextIndent"/>
        <w:ind w:left="0"/>
      </w:pPr>
    </w:p>
    <w:p w:rsidR="00000000" w:rsidRDefault="00D93457">
      <w:pPr>
        <w:pStyle w:val="BodyTextIndent"/>
        <w:ind w:left="0"/>
      </w:pPr>
      <w:r>
        <w:t xml:space="preserve">The effects of blocking trash racks (occlusion) showed no benefits for </w:t>
      </w:r>
      <w:proofErr w:type="gramStart"/>
      <w:r>
        <w:t>kelt</w:t>
      </w:r>
      <w:proofErr w:type="gramEnd"/>
      <w:r>
        <w:t xml:space="preserve"> passage at TDA.  Similarly, a past hydroacoustic evaluation showed no</w:t>
      </w:r>
      <w:r>
        <w:t xml:space="preserve"> effect from occlusion at TDA on juvenile passage (Biosonics Inc. 1997).  High reported sluiceway passage efficiencies for juveniles (as reviewed by Whitney et al. 1997), may suggest that little additional effectiveness can be attained through altering the</w:t>
      </w:r>
      <w:r>
        <w:t xml:space="preserve"> sluiceway environ at TDA.  In fact, increasing the flow field near the channel bottom (through blocking trash racks) may increase turbine passage rates for kelts.  Further evaluations are scheduled to better determine the effects of occlusion on juvenile </w:t>
      </w:r>
      <w:r>
        <w:t xml:space="preserve">and </w:t>
      </w:r>
      <w:proofErr w:type="gramStart"/>
      <w:r>
        <w:t>kelt</w:t>
      </w:r>
      <w:proofErr w:type="gramEnd"/>
      <w:r>
        <w:t xml:space="preserve"> passage at TDA.   </w:t>
      </w:r>
    </w:p>
    <w:p w:rsidR="00000000" w:rsidRDefault="00D93457">
      <w:pPr>
        <w:pStyle w:val="BodyTextIndent"/>
        <w:ind w:left="0"/>
      </w:pPr>
    </w:p>
    <w:p w:rsidR="00000000" w:rsidRDefault="00D93457">
      <w:pPr>
        <w:pStyle w:val="BodyTextIndent"/>
        <w:ind w:left="0"/>
      </w:pPr>
      <w:r>
        <w:t xml:space="preserve">Current information warns of an inefficiency of standard length turbine intake screen systems in successfully guiding kelts away from turbine units in the FCRPS.  Whether these data are a function of </w:t>
      </w:r>
      <w:proofErr w:type="gramStart"/>
      <w:r>
        <w:t>kelt</w:t>
      </w:r>
      <w:proofErr w:type="gramEnd"/>
      <w:r>
        <w:t xml:space="preserve"> turbine intake approac</w:t>
      </w:r>
      <w:r>
        <w:t>h and passage behavior, or related to problems associated with gatewell orifice passage are unclear.  Frequent injuries, apparently related to orifice passage, were reported in a study of adult fallbacks at McNary Dam (Wagner 1991).  These data indicate ga</w:t>
      </w:r>
      <w:r>
        <w:t xml:space="preserve">tewell orifice passage maybe problematic for adult salmonids.  Additional study is needed on the orifice passage efficiencies of kelts and adult fallbacks. </w:t>
      </w:r>
    </w:p>
    <w:p w:rsidR="00000000" w:rsidRDefault="00D93457">
      <w:pPr>
        <w:pStyle w:val="BodyTextIndent"/>
        <w:ind w:left="0"/>
      </w:pPr>
    </w:p>
    <w:p w:rsidR="00000000" w:rsidRDefault="00D93457">
      <w:pPr>
        <w:pStyle w:val="BodyTextIndent"/>
        <w:tabs>
          <w:tab w:val="left" w:pos="-720"/>
        </w:tabs>
        <w:ind w:left="0" w:firstLine="0"/>
      </w:pPr>
      <w:r>
        <w:tab/>
        <w:t>Kelt detection rates, travel, and residence times could have been influenced by a variety of fact</w:t>
      </w:r>
      <w:r>
        <w:t xml:space="preserve">ors such as; transmitter loss, transmitter depth, transmitter burst rate, false positive detections (receiver detects the tag but the fish is actually dead), and </w:t>
      </w:r>
      <w:proofErr w:type="gramStart"/>
      <w:r>
        <w:t>kelt</w:t>
      </w:r>
      <w:proofErr w:type="gramEnd"/>
      <w:r>
        <w:t xml:space="preserve"> mortalities.  Due to concealed factors such as delayed mortality and the potential for fa</w:t>
      </w:r>
      <w:r>
        <w:t xml:space="preserve">lse-positive detections, we are unable to make broader statements regarding </w:t>
      </w:r>
      <w:proofErr w:type="gramStart"/>
      <w:r>
        <w:t>kelt</w:t>
      </w:r>
      <w:proofErr w:type="gramEnd"/>
      <w:r>
        <w:t xml:space="preserve"> survival.  </w:t>
      </w:r>
      <w:r>
        <w:rPr>
          <w:snapToGrid w:val="0"/>
        </w:rPr>
        <w:t xml:space="preserve">Whether initial </w:t>
      </w:r>
      <w:proofErr w:type="gramStart"/>
      <w:r>
        <w:rPr>
          <w:snapToGrid w:val="0"/>
        </w:rPr>
        <w:t>kelt</w:t>
      </w:r>
      <w:proofErr w:type="gramEnd"/>
      <w:r>
        <w:rPr>
          <w:snapToGrid w:val="0"/>
        </w:rPr>
        <w:t xml:space="preserve"> attrition rates (McN=11%; JDD=13%) were related to sampling, tag loss, tag failure, or negative affects of bypass outfall discharge (kelt injur</w:t>
      </w:r>
      <w:r>
        <w:rPr>
          <w:snapToGrid w:val="0"/>
        </w:rPr>
        <w:t xml:space="preserve">y or mortality associated with passing bypass system outfalls), or combinations of these </w:t>
      </w:r>
      <w:r>
        <w:rPr>
          <w:snapToGrid w:val="0"/>
        </w:rPr>
        <w:lastRenderedPageBreak/>
        <w:t>factors are unknown.  Tests of radio-tag retention suggest that tag loss was probably minimal.  However, tag retention of kelts passing turbine units and spillways (by</w:t>
      </w:r>
      <w:r>
        <w:rPr>
          <w:snapToGrid w:val="0"/>
        </w:rPr>
        <w:t xml:space="preserve">pass systems were sampled) remains invalidated.  To ensure contact attritions are not related to radio-tag loss, future studies will use a more robust suture material (e.g., nylon), with tests of tag retention replicated.   </w:t>
      </w:r>
      <w:r>
        <w:t xml:space="preserve"> </w:t>
      </w:r>
    </w:p>
    <w:p w:rsidR="00000000" w:rsidRDefault="00D93457">
      <w:pPr>
        <w:pStyle w:val="BodyTextIndent"/>
        <w:ind w:left="0"/>
        <w:rPr>
          <w:snapToGrid w:val="0"/>
          <w:color w:val="FF0000"/>
        </w:rPr>
      </w:pPr>
    </w:p>
    <w:p w:rsidR="00000000" w:rsidRDefault="00D93457">
      <w:pPr>
        <w:pStyle w:val="BodyTextIndent"/>
        <w:ind w:left="0"/>
        <w:rPr>
          <w:b/>
          <w:sz w:val="32"/>
          <w:u w:val="single"/>
        </w:rPr>
      </w:pPr>
      <w:r>
        <w:t>Adult PIT detection technolog</w:t>
      </w:r>
      <w:r>
        <w:t xml:space="preserve">ies were effective for monitoring returns, as indicated by the percentage of steelhead contacted on upstream migrations (~ 8%).  </w:t>
      </w:r>
      <w:r>
        <w:rPr>
          <w:bCs/>
        </w:rPr>
        <w:t xml:space="preserve">These data are reflective of returns from kelts in good and fair condition.  Documented returns are undoubtedly a conservative </w:t>
      </w:r>
      <w:r>
        <w:rPr>
          <w:bCs/>
        </w:rPr>
        <w:t>indicator of returns, as only the Washington Shore fishway of BON and the adult trap of LGR recorded PIT detections in 2001.  Beyond 2002, additional adult PIT detection systems (e.g., all fishladders of BON, McN, Ice Harbor, and Priest Rapids dams) will a</w:t>
      </w:r>
      <w:r>
        <w:rPr>
          <w:bCs/>
        </w:rPr>
        <w:t xml:space="preserve">llow for a more comprehensive evaluation of steelhead returns.  In addition, these detection systems will document return rates from the differing steelhead evolutionarily significant units within the Columbia Basin. </w:t>
      </w:r>
    </w:p>
    <w:p w:rsidR="00000000" w:rsidRDefault="00D93457">
      <w:pPr>
        <w:pStyle w:val="BodyTextIndent"/>
        <w:ind w:left="0"/>
      </w:pPr>
    </w:p>
    <w:p w:rsidR="00000000" w:rsidRDefault="00D93457">
      <w:pPr>
        <w:pStyle w:val="BodyTextIndent"/>
        <w:ind w:left="0"/>
        <w:rPr>
          <w:b/>
          <w:u w:val="single"/>
        </w:rPr>
      </w:pPr>
      <w:r>
        <w:t>The high attrition rate of kelts rele</w:t>
      </w:r>
      <w:r>
        <w:t xml:space="preserve">ased in the Snake River relative to Columbia River releases suggests differing </w:t>
      </w:r>
      <w:proofErr w:type="gramStart"/>
      <w:r>
        <w:t>kelt</w:t>
      </w:r>
      <w:proofErr w:type="gramEnd"/>
      <w:r>
        <w:t xml:space="preserve"> management protocols are probably suitable for these areas.  Further work is needed to determine what methodologies (e.g., transport, reconditioning, short term recondition</w:t>
      </w:r>
      <w:r>
        <w:t>ing and transport, improved in-river passage) may be most appropriate (by stock and location) for conserving and deriving a greater benefit from the life history characteristics of this species.  Toward this end, furth</w:t>
      </w:r>
      <w:r>
        <w:rPr>
          <w:bCs/>
        </w:rPr>
        <w:t>er investigations are scheduled on the</w:t>
      </w:r>
      <w:r>
        <w:rPr>
          <w:bCs/>
        </w:rPr>
        <w:t xml:space="preserve"> passage routes, rates, and returns from </w:t>
      </w:r>
      <w:proofErr w:type="gramStart"/>
      <w:r>
        <w:rPr>
          <w:bCs/>
        </w:rPr>
        <w:t>kelt</w:t>
      </w:r>
      <w:proofErr w:type="gramEnd"/>
      <w:r>
        <w:rPr>
          <w:bCs/>
        </w:rPr>
        <w:t xml:space="preserve"> populations passing through the FCRPS, and potential actions to mitigate for the effects of passing pools and dams on steelhead iteroparity rates.</w:t>
      </w:r>
    </w:p>
    <w:p w:rsidR="00000000" w:rsidRDefault="00D93457">
      <w:pPr>
        <w:pStyle w:val="BodyTextIndent"/>
        <w:ind w:left="0" w:firstLine="0"/>
        <w:jc w:val="center"/>
        <w:rPr>
          <w:b/>
          <w:sz w:val="28"/>
          <w:u w:val="single"/>
        </w:rPr>
      </w:pPr>
    </w:p>
    <w:p w:rsidR="00000000" w:rsidRDefault="00D93457">
      <w:pPr>
        <w:pStyle w:val="BodyTextIndent"/>
        <w:ind w:left="0" w:firstLine="0"/>
        <w:jc w:val="center"/>
        <w:rPr>
          <w:b/>
          <w:sz w:val="28"/>
          <w:u w:val="single"/>
        </w:rPr>
      </w:pPr>
    </w:p>
    <w:p w:rsidR="00000000" w:rsidRDefault="00D93457">
      <w:pPr>
        <w:pStyle w:val="BodyTextIndent"/>
        <w:ind w:left="0" w:firstLine="0"/>
        <w:jc w:val="center"/>
        <w:rPr>
          <w:b/>
          <w:sz w:val="28"/>
          <w:u w:val="single"/>
        </w:rPr>
      </w:pPr>
      <w:r>
        <w:rPr>
          <w:b/>
          <w:sz w:val="28"/>
          <w:u w:val="single"/>
        </w:rPr>
        <w:t>Acknowledgements</w:t>
      </w:r>
    </w:p>
    <w:p w:rsidR="00000000" w:rsidRDefault="00D93457">
      <w:pPr>
        <w:pStyle w:val="BodyTextIndent"/>
        <w:ind w:left="0"/>
      </w:pPr>
    </w:p>
    <w:p w:rsidR="00000000" w:rsidRDefault="00D93457">
      <w:pPr>
        <w:pStyle w:val="BodyTextIndent"/>
        <w:ind w:left="0"/>
      </w:pPr>
      <w:r>
        <w:t>This project was funded by the U.S. Army Co</w:t>
      </w:r>
      <w:r>
        <w:t>rps of Engineers, Portland and Walla Walla Districts, under the Northwest Division’s Anadromous Fisheries Evaluation Program (AFEP).  We are thankful for the efforts of the project officers, David Clugston and Mike Langeslay.  We also thank Corps Biologist</w:t>
      </w:r>
      <w:r>
        <w:t xml:space="preserve">s Brad Eby at McNary </w:t>
      </w:r>
      <w:proofErr w:type="gramStart"/>
      <w:r>
        <w:t>Dam,</w:t>
      </w:r>
      <w:proofErr w:type="gramEnd"/>
      <w:r>
        <w:t xml:space="preserve"> and Bob Cordie at John Day Dam for their generous assistance during fieldwork at their projects.  Without their and their staff’s efforts, these works would not be possible.   </w:t>
      </w:r>
    </w:p>
    <w:p w:rsidR="00000000" w:rsidRDefault="00D93457">
      <w:pPr>
        <w:pStyle w:val="BodyTextIndent"/>
        <w:ind w:left="0" w:firstLine="0"/>
      </w:pPr>
    </w:p>
    <w:p w:rsidR="00000000" w:rsidRDefault="00D93457">
      <w:pPr>
        <w:pStyle w:val="BodyTextIndent"/>
        <w:ind w:left="0"/>
        <w:rPr>
          <w:b/>
          <w:u w:val="single"/>
        </w:rPr>
      </w:pPr>
      <w:r>
        <w:t>We are indebted for the collaborative efforts and te</w:t>
      </w:r>
      <w:r>
        <w:t>lemetry data collection from the USGS staff of the Columbia River Research laboratory.  Special thanks are warranted to Noah Adams, John Beeman, Scott Evans, Dennis Rondorf, and Rachel Wardell.  Similarly, Sarah McCarthy (NMFS NWFSC), Chris Peery (UI), and</w:t>
      </w:r>
      <w:r>
        <w:t xml:space="preserve"> Ken Tolloti (UI) all provided significant contributions in data collection and transfer.  We also thank Robert Stansell for coordinating logistics and his thoughtful review.  We were very grateful for support from the late Dr. Theodore Bjorrn.  </w:t>
      </w:r>
    </w:p>
    <w:p w:rsidR="00000000" w:rsidRDefault="00D93457">
      <w:pPr>
        <w:pStyle w:val="BodyTextIndent"/>
        <w:tabs>
          <w:tab w:val="left" w:pos="-720"/>
        </w:tabs>
        <w:ind w:left="720" w:hanging="720"/>
        <w:jc w:val="center"/>
        <w:rPr>
          <w:b/>
          <w:caps/>
          <w:sz w:val="28"/>
          <w:u w:val="single"/>
        </w:rPr>
      </w:pPr>
    </w:p>
    <w:p w:rsidR="00000000" w:rsidRDefault="00D93457">
      <w:pPr>
        <w:pStyle w:val="BodyTextIndent"/>
        <w:tabs>
          <w:tab w:val="left" w:pos="-720"/>
        </w:tabs>
        <w:ind w:left="720" w:hanging="720"/>
        <w:jc w:val="center"/>
        <w:rPr>
          <w:b/>
          <w:caps/>
          <w:sz w:val="28"/>
          <w:u w:val="single"/>
        </w:rPr>
      </w:pPr>
    </w:p>
    <w:p w:rsidR="00000000" w:rsidRDefault="00D93457">
      <w:pPr>
        <w:pStyle w:val="BodyTextIndent"/>
        <w:tabs>
          <w:tab w:val="left" w:pos="-720"/>
        </w:tabs>
        <w:ind w:left="720" w:hanging="720"/>
        <w:jc w:val="center"/>
        <w:rPr>
          <w:b/>
          <w:caps/>
          <w:sz w:val="28"/>
          <w:u w:val="single"/>
        </w:rPr>
      </w:pPr>
      <w:r>
        <w:rPr>
          <w:b/>
          <w:caps/>
          <w:sz w:val="28"/>
          <w:u w:val="single"/>
        </w:rPr>
        <w:lastRenderedPageBreak/>
        <w:t>Referen</w:t>
      </w:r>
      <w:r>
        <w:rPr>
          <w:b/>
          <w:caps/>
          <w:sz w:val="28"/>
          <w:u w:val="single"/>
        </w:rPr>
        <w:t>ces</w:t>
      </w:r>
    </w:p>
    <w:p w:rsidR="00000000" w:rsidRDefault="00D93457">
      <w:pPr>
        <w:pStyle w:val="BodyTextIndent"/>
        <w:tabs>
          <w:tab w:val="left" w:pos="-720"/>
        </w:tabs>
        <w:ind w:left="720" w:hanging="720"/>
        <w:jc w:val="center"/>
        <w:rPr>
          <w:snapToGrid w:val="0"/>
        </w:rPr>
      </w:pPr>
    </w:p>
    <w:p w:rsidR="00000000" w:rsidRDefault="00D93457">
      <w:pPr>
        <w:pStyle w:val="Heading2"/>
        <w:ind w:left="720" w:hanging="720"/>
        <w:rPr>
          <w:b w:val="0"/>
          <w:bCs/>
          <w:snapToGrid w:val="0"/>
          <w:sz w:val="24"/>
        </w:rPr>
      </w:pPr>
      <w:proofErr w:type="gramStart"/>
      <w:r>
        <w:rPr>
          <w:b w:val="0"/>
          <w:bCs/>
          <w:sz w:val="24"/>
        </w:rPr>
        <w:t>Beeman, J. W., H. C. Hansel, P. V. Haner and J. Hardiman.</w:t>
      </w:r>
      <w:proofErr w:type="gramEnd"/>
      <w:r>
        <w:rPr>
          <w:b w:val="0"/>
          <w:bCs/>
          <w:sz w:val="24"/>
        </w:rPr>
        <w:t xml:space="preserve">  </w:t>
      </w:r>
      <w:proofErr w:type="gramStart"/>
      <w:r>
        <w:rPr>
          <w:b w:val="0"/>
          <w:bCs/>
          <w:sz w:val="24"/>
        </w:rPr>
        <w:t>Estimates of Fish-, Spill-, and Sluiceway-Passage Efficiencies of Radio-Tagged Juvenile Steelhead and Yearling Chinook Salmon at The Dalles Dam, 2000 interim report of research.</w:t>
      </w:r>
      <w:proofErr w:type="gramEnd"/>
      <w:r>
        <w:rPr>
          <w:b w:val="0"/>
          <w:bCs/>
          <w:sz w:val="24"/>
        </w:rPr>
        <w:t xml:space="preserve">  Prepared by t</w:t>
      </w:r>
      <w:r>
        <w:rPr>
          <w:b w:val="0"/>
          <w:bCs/>
          <w:sz w:val="24"/>
        </w:rPr>
        <w:t xml:space="preserve">he U.S. Geological Survey, Cook Washington for the U.S. Army Corps of Engineers, Portland District, </w:t>
      </w:r>
      <w:proofErr w:type="gramStart"/>
      <w:r>
        <w:rPr>
          <w:b w:val="0"/>
          <w:bCs/>
          <w:sz w:val="24"/>
        </w:rPr>
        <w:t>Portland</w:t>
      </w:r>
      <w:proofErr w:type="gramEnd"/>
      <w:r>
        <w:rPr>
          <w:b w:val="0"/>
          <w:bCs/>
          <w:sz w:val="24"/>
        </w:rPr>
        <w:t>, OR, USA.</w:t>
      </w:r>
    </w:p>
    <w:p w:rsidR="00000000" w:rsidRDefault="00D93457">
      <w:pPr>
        <w:ind w:left="720" w:hanging="720"/>
      </w:pPr>
    </w:p>
    <w:p w:rsidR="00000000" w:rsidRDefault="00D93457">
      <w:pPr>
        <w:pStyle w:val="BodyTextIndent3"/>
        <w:spacing w:line="240" w:lineRule="auto"/>
        <w:ind w:left="720"/>
        <w:jc w:val="left"/>
      </w:pPr>
      <w:r>
        <w:t xml:space="preserve">Biosonics Inc.  1997.   Hydroacoustic evaluation and studies at The Dalles </w:t>
      </w:r>
      <w:proofErr w:type="gramStart"/>
      <w:r>
        <w:t>Dam,</w:t>
      </w:r>
      <w:proofErr w:type="gramEnd"/>
      <w:r>
        <w:t xml:space="preserve"> spring/summer 1997.  </w:t>
      </w:r>
      <w:proofErr w:type="gramStart"/>
      <w:r>
        <w:t>Volume I – Fish Passage.</w:t>
      </w:r>
      <w:proofErr w:type="gramEnd"/>
      <w:r>
        <w:t xml:space="preserve">  Report to</w:t>
      </w:r>
      <w:r>
        <w:t xml:space="preserve"> U.S. Army Corps of Engineers, Portland District, 64 p. Plus appendixes</w:t>
      </w:r>
      <w:proofErr w:type="gramStart"/>
      <w:r>
        <w:t>. Available from Biosonics, Inc., Leary Way N.W., Seattle, WA 98107.</w:t>
      </w:r>
      <w:proofErr w:type="gramEnd"/>
    </w:p>
    <w:p w:rsidR="00000000" w:rsidRDefault="00D93457">
      <w:pPr>
        <w:pStyle w:val="BodyTextIndent3"/>
        <w:spacing w:line="240" w:lineRule="auto"/>
        <w:ind w:left="720"/>
      </w:pPr>
    </w:p>
    <w:p w:rsidR="00000000" w:rsidRDefault="00D93457">
      <w:pPr>
        <w:pStyle w:val="BodyTextIndent3"/>
        <w:spacing w:line="240" w:lineRule="auto"/>
        <w:ind w:left="720"/>
        <w:jc w:val="left"/>
      </w:pPr>
      <w:proofErr w:type="gramStart"/>
      <w:r>
        <w:t>Brown, R.S., S.J. Cook, W.G. Anderson, and R.S. McKinley.</w:t>
      </w:r>
      <w:proofErr w:type="gramEnd"/>
      <w:r>
        <w:t xml:space="preserve">  1999.  Evidence to Challenge the “2% Rule” for Bioteleme</w:t>
      </w:r>
      <w:r>
        <w:t>try</w:t>
      </w:r>
      <w:proofErr w:type="gramStart"/>
      <w:r>
        <w:t xml:space="preserve">.   </w:t>
      </w:r>
      <w:proofErr w:type="gramEnd"/>
      <w:r>
        <w:t>North American Journal of Fisheries Management 19: 867-871.</w:t>
      </w:r>
    </w:p>
    <w:p w:rsidR="00000000" w:rsidRDefault="00D93457">
      <w:pPr>
        <w:pStyle w:val="BodyTextIndent3"/>
        <w:spacing w:line="240" w:lineRule="auto"/>
        <w:ind w:left="720"/>
        <w:rPr>
          <w:snapToGrid w:val="0"/>
        </w:rPr>
      </w:pPr>
    </w:p>
    <w:p w:rsidR="00000000" w:rsidRDefault="00D93457">
      <w:pPr>
        <w:pStyle w:val="BodyTextIndent3"/>
        <w:spacing w:line="240" w:lineRule="auto"/>
        <w:ind w:left="720"/>
        <w:rPr>
          <w:snapToGrid w:val="0"/>
        </w:rPr>
      </w:pPr>
      <w:proofErr w:type="gramStart"/>
      <w:r>
        <w:rPr>
          <w:snapToGrid w:val="0"/>
        </w:rPr>
        <w:t>Burnham, K.P., D.R. Anderson, G.C. White, C. Brownie, and K.H. Pollock.</w:t>
      </w:r>
      <w:proofErr w:type="gramEnd"/>
      <w:r>
        <w:rPr>
          <w:snapToGrid w:val="0"/>
        </w:rPr>
        <w:t xml:space="preserve">  1987.</w:t>
      </w:r>
    </w:p>
    <w:p w:rsidR="00000000" w:rsidRDefault="00D93457">
      <w:pPr>
        <w:pStyle w:val="BodyTextIndent3"/>
        <w:spacing w:line="240" w:lineRule="auto"/>
        <w:ind w:left="720"/>
        <w:rPr>
          <w:snapToGrid w:val="0"/>
        </w:rPr>
      </w:pPr>
      <w:r>
        <w:rPr>
          <w:snapToGrid w:val="0"/>
        </w:rPr>
        <w:tab/>
      </w:r>
      <w:r>
        <w:rPr>
          <w:snapToGrid w:val="0"/>
        </w:rPr>
        <w:tab/>
        <w:t>Design and analysis methods for fish survival experiments based on release-recapture.  American Fisheries S</w:t>
      </w:r>
      <w:r>
        <w:rPr>
          <w:snapToGrid w:val="0"/>
        </w:rPr>
        <w:t xml:space="preserve">ociety Monograph 5; ISSN 0362-1715.  </w:t>
      </w:r>
    </w:p>
    <w:p w:rsidR="00000000" w:rsidRDefault="00D93457">
      <w:pPr>
        <w:pStyle w:val="BodyTextIndent3"/>
        <w:spacing w:line="240" w:lineRule="auto"/>
        <w:ind w:left="720"/>
        <w:jc w:val="left"/>
        <w:rPr>
          <w:snapToGrid w:val="0"/>
        </w:rPr>
      </w:pPr>
    </w:p>
    <w:p w:rsidR="00000000" w:rsidRDefault="00D93457">
      <w:pPr>
        <w:pStyle w:val="BodyTextIndent3"/>
        <w:spacing w:line="240" w:lineRule="auto"/>
        <w:ind w:left="720"/>
        <w:jc w:val="left"/>
      </w:pPr>
      <w:proofErr w:type="gramStart"/>
      <w:r>
        <w:rPr>
          <w:snapToGrid w:val="0"/>
        </w:rPr>
        <w:t>Coutant, C.C. and R.R. Whitney.</w:t>
      </w:r>
      <w:proofErr w:type="gramEnd"/>
      <w:r>
        <w:rPr>
          <w:snapToGrid w:val="0"/>
        </w:rPr>
        <w:t xml:space="preserve">  2000.  Fish behavior in relation to passage through hydropower turbines: a review.  Transactions of the American Fisheries Society 129:351-380.</w:t>
      </w:r>
    </w:p>
    <w:p w:rsidR="00000000" w:rsidRDefault="00D93457">
      <w:pPr>
        <w:pStyle w:val="BodyTextIndent3"/>
        <w:spacing w:line="240" w:lineRule="auto"/>
        <w:ind w:left="720"/>
      </w:pPr>
    </w:p>
    <w:p w:rsidR="00000000" w:rsidRDefault="00D93457">
      <w:pPr>
        <w:pStyle w:val="BodyTextIndent3"/>
        <w:spacing w:line="240" w:lineRule="auto"/>
        <w:ind w:left="720"/>
        <w:jc w:val="left"/>
      </w:pPr>
      <w:r>
        <w:t>Elston, R. 1996</w:t>
      </w:r>
      <w:proofErr w:type="gramStart"/>
      <w:r>
        <w:t xml:space="preserve">. </w:t>
      </w:r>
      <w:proofErr w:type="gramEnd"/>
      <w:r>
        <w:t xml:space="preserve">Investigation of Head </w:t>
      </w:r>
      <w:r>
        <w:t>Burns in Adult salmonids</w:t>
      </w:r>
      <w:proofErr w:type="gramStart"/>
      <w:r>
        <w:t xml:space="preserve">. </w:t>
      </w:r>
      <w:proofErr w:type="gramEnd"/>
      <w:r>
        <w:t>Phase 1: Examination of fish at Lower Granite Dam, July 2, 1996</w:t>
      </w:r>
      <w:proofErr w:type="gramStart"/>
      <w:r>
        <w:t xml:space="preserve">. </w:t>
      </w:r>
      <w:proofErr w:type="gramEnd"/>
      <w:r>
        <w:t>12p. Final report prepared for the Bonneville Power Administration</w:t>
      </w:r>
      <w:proofErr w:type="gramStart"/>
      <w:r>
        <w:t>. Contract number 96AP95973.</w:t>
      </w:r>
      <w:proofErr w:type="gramEnd"/>
    </w:p>
    <w:p w:rsidR="00000000" w:rsidRDefault="00D93457">
      <w:pPr>
        <w:pStyle w:val="BodyTextIndent3"/>
        <w:spacing w:line="240" w:lineRule="auto"/>
        <w:ind w:left="720"/>
        <w:jc w:val="left"/>
      </w:pPr>
    </w:p>
    <w:p w:rsidR="00000000" w:rsidRDefault="00D93457">
      <w:pPr>
        <w:pStyle w:val="BodyTextIndent3"/>
        <w:spacing w:line="240" w:lineRule="auto"/>
        <w:ind w:left="720"/>
        <w:jc w:val="left"/>
      </w:pPr>
      <w:r>
        <w:rPr>
          <w:szCs w:val="20"/>
        </w:rPr>
        <w:t>Evans, A.F. 2002</w:t>
      </w:r>
      <w:proofErr w:type="gramStart"/>
      <w:r>
        <w:rPr>
          <w:szCs w:val="20"/>
        </w:rPr>
        <w:t xml:space="preserve">. </w:t>
      </w:r>
      <w:proofErr w:type="gramEnd"/>
      <w:r>
        <w:rPr>
          <w:szCs w:val="20"/>
        </w:rPr>
        <w:t xml:space="preserve">Steelhead (Oncorhynchus mykiss) </w:t>
      </w:r>
      <w:proofErr w:type="gramStart"/>
      <w:r>
        <w:rPr>
          <w:szCs w:val="20"/>
        </w:rPr>
        <w:t>kelt</w:t>
      </w:r>
      <w:proofErr w:type="gramEnd"/>
      <w:r>
        <w:rPr>
          <w:szCs w:val="20"/>
        </w:rPr>
        <w:t xml:space="preserve"> outmigrations </w:t>
      </w:r>
      <w:r>
        <w:rPr>
          <w:szCs w:val="20"/>
        </w:rPr>
        <w:t xml:space="preserve">from Lower Granite Dam to Bonneville Dam: Abundance, downstream conversion rates, routes of passage, and travel times.  Annual Report </w:t>
      </w:r>
      <w:r>
        <w:rPr>
          <w:i/>
          <w:iCs/>
          <w:szCs w:val="20"/>
        </w:rPr>
        <w:t>To</w:t>
      </w:r>
      <w:r>
        <w:rPr>
          <w:szCs w:val="20"/>
        </w:rPr>
        <w:t xml:space="preserve"> US Army Corps of Engineers, Walla Walla District, for Contract No</w:t>
      </w:r>
      <w:proofErr w:type="gramStart"/>
      <w:r>
        <w:rPr>
          <w:szCs w:val="20"/>
        </w:rPr>
        <w:t xml:space="preserve">. </w:t>
      </w:r>
      <w:proofErr w:type="gramEnd"/>
      <w:r>
        <w:rPr>
          <w:szCs w:val="20"/>
        </w:rPr>
        <w:t>DACW68-01-0016</w:t>
      </w:r>
      <w:proofErr w:type="gramStart"/>
      <w:r>
        <w:rPr>
          <w:szCs w:val="20"/>
        </w:rPr>
        <w:t>. Prepared by CRITFC, Portland, OR.</w:t>
      </w:r>
      <w:proofErr w:type="gramEnd"/>
      <w:r>
        <w:rPr>
          <w:szCs w:val="20"/>
        </w:rPr>
        <w:t>   </w:t>
      </w:r>
    </w:p>
    <w:p w:rsidR="00000000" w:rsidRDefault="00D93457">
      <w:pPr>
        <w:pStyle w:val="BodyTextIndent3"/>
        <w:spacing w:line="240" w:lineRule="auto"/>
        <w:ind w:left="720"/>
        <w:jc w:val="left"/>
      </w:pPr>
    </w:p>
    <w:p w:rsidR="00000000" w:rsidRDefault="00D93457">
      <w:pPr>
        <w:pStyle w:val="BodyTextIndent3"/>
        <w:spacing w:line="240" w:lineRule="auto"/>
        <w:ind w:left="720"/>
        <w:jc w:val="left"/>
      </w:pPr>
      <w:proofErr w:type="gramStart"/>
      <w:r>
        <w:t>Evans, A.F., R.E. Beaty, D.R. Hatch, J.B. Blodgett, and D. Fast.</w:t>
      </w:r>
      <w:proofErr w:type="gramEnd"/>
      <w:r>
        <w:t xml:space="preserve">  2001.  Kelt reconditioning: a research project to enhance iteroparity in Columbia Basin steelhead (Oncoryhnchus mykiss).  Draft Report </w:t>
      </w:r>
      <w:proofErr w:type="gramStart"/>
      <w:r>
        <w:rPr>
          <w:i/>
          <w:iCs/>
        </w:rPr>
        <w:t>To</w:t>
      </w:r>
      <w:proofErr w:type="gramEnd"/>
      <w:r>
        <w:t xml:space="preserve"> Bonneville Power Administration, for Project 2000-</w:t>
      </w:r>
      <w:r>
        <w:t>017.  Prepared by CRITFC, Portland Or.</w:t>
      </w:r>
    </w:p>
    <w:p w:rsidR="00000000" w:rsidRDefault="00D93457">
      <w:pPr>
        <w:pStyle w:val="BodyTextIndent3"/>
        <w:spacing w:line="240" w:lineRule="auto"/>
        <w:ind w:left="720"/>
        <w:jc w:val="left"/>
      </w:pPr>
    </w:p>
    <w:p w:rsidR="00000000" w:rsidRDefault="00D93457">
      <w:pPr>
        <w:pStyle w:val="BodyTextIndent3"/>
        <w:spacing w:line="240" w:lineRule="auto"/>
        <w:ind w:left="720"/>
        <w:jc w:val="left"/>
      </w:pPr>
      <w:proofErr w:type="gramStart"/>
      <w:r>
        <w:t>Evans, A.F., and R.E. Beaty.</w:t>
      </w:r>
      <w:proofErr w:type="gramEnd"/>
      <w:r>
        <w:t xml:space="preserve">  </w:t>
      </w:r>
      <w:proofErr w:type="gramStart"/>
      <w:r>
        <w:t xml:space="preserve">Identification and enumeration of steelhead </w:t>
      </w:r>
      <w:r>
        <w:rPr>
          <w:i/>
        </w:rPr>
        <w:t>(Oncorhynchus mykiss)</w:t>
      </w:r>
      <w:r>
        <w:t xml:space="preserve"> kelts in the juvenile collection systems at Lower Granite and Little Goose dams, 2000.</w:t>
      </w:r>
      <w:proofErr w:type="gramEnd"/>
      <w:r>
        <w:t xml:space="preserve">  </w:t>
      </w:r>
      <w:proofErr w:type="gramStart"/>
      <w:r>
        <w:rPr>
          <w:i/>
        </w:rPr>
        <w:t>In</w:t>
      </w:r>
      <w:r>
        <w:t xml:space="preserve"> U.S. Army Corps of Engineers</w:t>
      </w:r>
      <w:r>
        <w:rPr>
          <w:i/>
        </w:rPr>
        <w:t>.</w:t>
      </w:r>
      <w:proofErr w:type="gramEnd"/>
      <w:r>
        <w:rPr>
          <w:i/>
        </w:rPr>
        <w:t xml:space="preserve">  </w:t>
      </w:r>
      <w:r>
        <w:t xml:space="preserve">Anadromous fish evaluation program: 2000 annual research review.  </w:t>
      </w:r>
      <w:proofErr w:type="gramStart"/>
      <w:r>
        <w:t>Portland District, Portland, Oregon.</w:t>
      </w:r>
      <w:proofErr w:type="gramEnd"/>
    </w:p>
    <w:p w:rsidR="00000000" w:rsidRDefault="00D93457">
      <w:pPr>
        <w:pStyle w:val="BodyTextIndent3"/>
        <w:spacing w:line="240" w:lineRule="auto"/>
        <w:ind w:left="720"/>
        <w:jc w:val="left"/>
      </w:pPr>
    </w:p>
    <w:p w:rsidR="00000000" w:rsidRDefault="00D93457">
      <w:pPr>
        <w:pStyle w:val="BodyTextIndent3"/>
        <w:spacing w:line="240" w:lineRule="auto"/>
        <w:ind w:left="720"/>
      </w:pPr>
    </w:p>
    <w:p w:rsidR="00000000" w:rsidRDefault="00D93457">
      <w:pPr>
        <w:pStyle w:val="BodyTextIndent3"/>
        <w:tabs>
          <w:tab w:val="clear" w:pos="360"/>
          <w:tab w:val="clear" w:pos="1080"/>
          <w:tab w:val="left" w:pos="0"/>
        </w:tabs>
        <w:spacing w:line="240" w:lineRule="auto"/>
        <w:ind w:left="720"/>
        <w:jc w:val="left"/>
      </w:pPr>
    </w:p>
    <w:p w:rsidR="00000000" w:rsidRDefault="00D93457">
      <w:pPr>
        <w:pStyle w:val="BodyTextIndent3"/>
        <w:tabs>
          <w:tab w:val="clear" w:pos="360"/>
          <w:tab w:val="clear" w:pos="1080"/>
          <w:tab w:val="left" w:pos="0"/>
        </w:tabs>
        <w:spacing w:line="240" w:lineRule="auto"/>
        <w:ind w:left="720"/>
        <w:jc w:val="left"/>
      </w:pPr>
      <w:proofErr w:type="gramStart"/>
      <w:r>
        <w:t>Ferguson, J.E., T.P. Poe, and T.J. Carlson.</w:t>
      </w:r>
      <w:proofErr w:type="gramEnd"/>
      <w:r>
        <w:t xml:space="preserve">  1998.  Surface-oriented bypass systems for juvenile salmonids on the Columbia River, USA.  </w:t>
      </w:r>
      <w:proofErr w:type="gramStart"/>
      <w:r>
        <w:rPr>
          <w:i/>
          <w:iCs/>
        </w:rPr>
        <w:t>In</w:t>
      </w:r>
      <w:r>
        <w:t xml:space="preserve"> Fish Migr</w:t>
      </w:r>
      <w:r>
        <w:t>ation and Fish Bypasses.</w:t>
      </w:r>
      <w:proofErr w:type="gramEnd"/>
      <w:r>
        <w:t xml:space="preserve">  </w:t>
      </w:r>
      <w:proofErr w:type="gramStart"/>
      <w:r>
        <w:rPr>
          <w:i/>
          <w:iCs/>
        </w:rPr>
        <w:t xml:space="preserve">Ed. </w:t>
      </w:r>
      <w:r>
        <w:t>M. Jungwirth, S. Schmutz, and S. Weiss.</w:t>
      </w:r>
      <w:proofErr w:type="gramEnd"/>
      <w:r>
        <w:t xml:space="preserve">  pp. 281-299.</w:t>
      </w:r>
    </w:p>
    <w:p w:rsidR="00000000" w:rsidRDefault="00D93457">
      <w:pPr>
        <w:pStyle w:val="BodyTextIndent3"/>
        <w:tabs>
          <w:tab w:val="clear" w:pos="360"/>
          <w:tab w:val="clear" w:pos="1080"/>
          <w:tab w:val="left" w:pos="0"/>
        </w:tabs>
        <w:spacing w:line="240" w:lineRule="auto"/>
        <w:ind w:left="720"/>
        <w:jc w:val="left"/>
      </w:pPr>
    </w:p>
    <w:p w:rsidR="00000000" w:rsidRDefault="00D93457">
      <w:pPr>
        <w:pStyle w:val="BodyTextIndent3"/>
        <w:tabs>
          <w:tab w:val="clear" w:pos="360"/>
          <w:tab w:val="clear" w:pos="1080"/>
          <w:tab w:val="left" w:pos="0"/>
        </w:tabs>
        <w:spacing w:line="240" w:lineRule="auto"/>
        <w:ind w:left="720"/>
        <w:jc w:val="left"/>
      </w:pPr>
      <w:proofErr w:type="gramStart"/>
      <w:r>
        <w:t>Giorgi, A.E, M. Miller, and J.R. Stevenson.</w:t>
      </w:r>
      <w:proofErr w:type="gramEnd"/>
      <w:r>
        <w:t xml:space="preserve">  2002.  Mainstem passage strategies in the Columbia River system:  Transportation, spill, and flow augmentation</w:t>
      </w:r>
      <w:proofErr w:type="gramStart"/>
      <w:r>
        <w:t xml:space="preserve">. </w:t>
      </w:r>
      <w:proofErr w:type="gramEnd"/>
      <w:r>
        <w:t>Bioanalysts: f</w:t>
      </w:r>
      <w:r>
        <w:t xml:space="preserve">or Northwest Power Planning Council, Portland, Oregon. </w:t>
      </w:r>
    </w:p>
    <w:p w:rsidR="00000000" w:rsidRDefault="00D93457">
      <w:pPr>
        <w:pStyle w:val="BodyTextIndent3"/>
        <w:spacing w:line="240" w:lineRule="auto"/>
        <w:ind w:left="720"/>
      </w:pPr>
    </w:p>
    <w:p w:rsidR="00000000" w:rsidRDefault="00D93457">
      <w:pPr>
        <w:pStyle w:val="BodyTextIndent3"/>
        <w:spacing w:line="240" w:lineRule="auto"/>
        <w:ind w:left="720"/>
      </w:pPr>
      <w:r>
        <w:t xml:space="preserve">ISG (Independent Science Group).  1996.  Return to the river: restoration of salmonid fishes in the Columbia River.  </w:t>
      </w:r>
      <w:proofErr w:type="gramStart"/>
      <w:r>
        <w:t>ISG, Report 96-6, for NPPC Portland, Oregon.</w:t>
      </w:r>
      <w:proofErr w:type="gramEnd"/>
    </w:p>
    <w:p w:rsidR="00000000" w:rsidRDefault="00D93457">
      <w:pPr>
        <w:ind w:left="720" w:hanging="720"/>
        <w:rPr>
          <w:snapToGrid w:val="0"/>
        </w:rPr>
      </w:pPr>
    </w:p>
    <w:p w:rsidR="00000000" w:rsidRDefault="00D93457">
      <w:pPr>
        <w:pStyle w:val="BodyTextIndent3"/>
        <w:spacing w:line="240" w:lineRule="auto"/>
        <w:ind w:left="720"/>
      </w:pPr>
      <w:proofErr w:type="gramStart"/>
      <w:r>
        <w:t>Kelly, J.E., and N.S. Adams.</w:t>
      </w:r>
      <w:proofErr w:type="gramEnd"/>
      <w:r>
        <w:t xml:space="preserve">  1996. </w:t>
      </w:r>
      <w:r>
        <w:t xml:space="preserve"> Range tests on radio tags considered for use in Lower Granite Reservoir, Washington.  Pages 14-29 </w:t>
      </w:r>
      <w:r>
        <w:rPr>
          <w:i/>
          <w:iCs/>
        </w:rPr>
        <w:t xml:space="preserve">in </w:t>
      </w:r>
      <w:r>
        <w:t>D.W. Rondorf and M. J. Banach editors</w:t>
      </w:r>
      <w:proofErr w:type="gramStart"/>
      <w:r>
        <w:t xml:space="preserve">. </w:t>
      </w:r>
      <w:proofErr w:type="gramEnd"/>
      <w:r>
        <w:t>Migrational characteristics of juvenile spring Chinook salmon and steelhead in lower Granite Reservoir and tributar</w:t>
      </w:r>
      <w:r>
        <w:t>ies, Snake River</w:t>
      </w:r>
      <w:proofErr w:type="gramStart"/>
      <w:r>
        <w:t xml:space="preserve">. </w:t>
      </w:r>
      <w:proofErr w:type="gramEnd"/>
      <w:r>
        <w:t>Report to U.S. Army Corps of Engineers, Contract E 86930151, Walla Walla, Washington.</w:t>
      </w:r>
    </w:p>
    <w:p w:rsidR="00000000" w:rsidRDefault="00D93457">
      <w:pPr>
        <w:pStyle w:val="BodyTextIndent3"/>
        <w:spacing w:line="240" w:lineRule="auto"/>
        <w:ind w:left="720"/>
      </w:pPr>
    </w:p>
    <w:p w:rsidR="00000000" w:rsidRDefault="00D93457">
      <w:pPr>
        <w:pStyle w:val="BodyTextIndent3"/>
        <w:spacing w:line="240" w:lineRule="auto"/>
        <w:ind w:left="720"/>
      </w:pPr>
      <w:r>
        <w:t>Leider, S.A.  1985.  Precise timing of upstream migrations by repeat steelhead spawners.  Transactions of the American Fisheries Society 114:906–908.</w:t>
      </w:r>
      <w:r>
        <w:t> </w:t>
      </w:r>
      <w:r>
        <w:t> </w:t>
      </w:r>
    </w:p>
    <w:p w:rsidR="00000000" w:rsidRDefault="00D93457">
      <w:pPr>
        <w:pStyle w:val="BodyTextIndent3"/>
        <w:spacing w:line="240" w:lineRule="auto"/>
        <w:ind w:left="720"/>
      </w:pPr>
    </w:p>
    <w:p w:rsidR="00000000" w:rsidRDefault="00D93457">
      <w:pPr>
        <w:pStyle w:val="BodyTextIndent3"/>
        <w:spacing w:line="240" w:lineRule="auto"/>
        <w:ind w:left="720"/>
      </w:pPr>
      <w:r>
        <w:t>NMFS</w:t>
      </w:r>
      <w:proofErr w:type="gramStart"/>
      <w:r>
        <w:t>. (National Marine Fisheries Service).</w:t>
      </w:r>
      <w:proofErr w:type="gramEnd"/>
      <w:r>
        <w:t xml:space="preserve">  1998.  Supplemental Biological Opinion</w:t>
      </w:r>
      <w:proofErr w:type="gramStart"/>
      <w:r>
        <w:t>.   NMFS Northwest Region.</w:t>
      </w:r>
      <w:proofErr w:type="gramEnd"/>
      <w:r>
        <w:t xml:space="preserve">  Seattle, WA.</w:t>
      </w:r>
    </w:p>
    <w:p w:rsidR="00000000" w:rsidRDefault="00D93457">
      <w:pPr>
        <w:pStyle w:val="BodyTextIndent"/>
        <w:ind w:left="720" w:hanging="720"/>
      </w:pPr>
    </w:p>
    <w:p w:rsidR="00000000" w:rsidRDefault="00D93457">
      <w:pPr>
        <w:pStyle w:val="BodyTextIndent"/>
        <w:ind w:left="720" w:hanging="720"/>
      </w:pPr>
      <w:r>
        <w:t>NMFS</w:t>
      </w:r>
      <w:proofErr w:type="gramStart"/>
      <w:r>
        <w:t>. (National Marine Fisheries Service) 2000a.</w:t>
      </w:r>
      <w:proofErr w:type="gramEnd"/>
      <w:r>
        <w:t xml:space="preserve">  </w:t>
      </w:r>
      <w:proofErr w:type="gramStart"/>
      <w:r>
        <w:t>Biological Opinion.</w:t>
      </w:r>
      <w:proofErr w:type="gramEnd"/>
      <w:r>
        <w:t xml:space="preserve">  </w:t>
      </w:r>
      <w:proofErr w:type="gramStart"/>
      <w:r>
        <w:t>NMFS Northwest Region.</w:t>
      </w:r>
      <w:proofErr w:type="gramEnd"/>
      <w:r>
        <w:t xml:space="preserve">  Seattle, WA.</w:t>
      </w:r>
    </w:p>
    <w:p w:rsidR="00000000" w:rsidRDefault="00D93457">
      <w:pPr>
        <w:pStyle w:val="BodyTextIndent"/>
        <w:ind w:left="720" w:hanging="720"/>
        <w:rPr>
          <w:color w:val="FF0000"/>
        </w:rPr>
      </w:pPr>
      <w:r>
        <w:rPr>
          <w:color w:val="FF0000"/>
        </w:rPr>
        <w:t xml:space="preserve"> </w:t>
      </w:r>
    </w:p>
    <w:p w:rsidR="00000000" w:rsidRDefault="00D93457">
      <w:pPr>
        <w:pStyle w:val="BodyTextIndent"/>
        <w:ind w:left="720" w:hanging="720"/>
        <w:jc w:val="both"/>
      </w:pPr>
      <w:r>
        <w:t>NMFS</w:t>
      </w:r>
      <w:proofErr w:type="gramStart"/>
      <w:r>
        <w:t>. (National Ma</w:t>
      </w:r>
      <w:r>
        <w:t>rine Fisheries Service) 2000b.</w:t>
      </w:r>
      <w:proofErr w:type="gramEnd"/>
      <w:r>
        <w:t xml:space="preserve">  </w:t>
      </w:r>
      <w:proofErr w:type="gramStart"/>
      <w:r>
        <w:t>White Paper.</w:t>
      </w:r>
      <w:proofErr w:type="gramEnd"/>
      <w:r>
        <w:t xml:space="preserve">  Passage of Juvenile and Adult Salmonids past Columbia and Snake River Dams</w:t>
      </w:r>
      <w:proofErr w:type="gramStart"/>
      <w:r>
        <w:t>. NMFS, Seattle, WA.</w:t>
      </w:r>
      <w:proofErr w:type="gramEnd"/>
    </w:p>
    <w:p w:rsidR="00000000" w:rsidRDefault="00D93457">
      <w:pPr>
        <w:pStyle w:val="BodyTextIndent"/>
        <w:ind w:left="720" w:hanging="720"/>
      </w:pPr>
    </w:p>
    <w:p w:rsidR="00000000" w:rsidRDefault="00D93457">
      <w:pPr>
        <w:pStyle w:val="BodyTextIndent"/>
        <w:ind w:left="720" w:hanging="720"/>
      </w:pPr>
      <w:proofErr w:type="gramStart"/>
      <w:r>
        <w:t>NWPPC (Northwest Power Planning Council).</w:t>
      </w:r>
      <w:proofErr w:type="gramEnd"/>
      <w:r>
        <w:t xml:space="preserve">  1986.  Compilation of information on salmon and steelhead losses In the</w:t>
      </w:r>
      <w:r>
        <w:t xml:space="preserve"> Columbia River basin.  Appendix D </w:t>
      </w:r>
      <w:proofErr w:type="gramStart"/>
      <w:r>
        <w:rPr>
          <w:i/>
        </w:rPr>
        <w:t>In</w:t>
      </w:r>
      <w:proofErr w:type="gramEnd"/>
      <w:r>
        <w:rPr>
          <w:i/>
        </w:rPr>
        <w:t xml:space="preserve"> </w:t>
      </w:r>
      <w:r>
        <w:t xml:space="preserve">1987 Columbia River fish and wildlife program.  NWPCC, Portland, Or. </w:t>
      </w:r>
    </w:p>
    <w:p w:rsidR="00000000" w:rsidRDefault="00D93457">
      <w:pPr>
        <w:pStyle w:val="BodyTextIndent"/>
        <w:ind w:left="720" w:hanging="720"/>
      </w:pPr>
    </w:p>
    <w:p w:rsidR="00000000" w:rsidRDefault="00D93457">
      <w:pPr>
        <w:tabs>
          <w:tab w:val="left" w:pos="0"/>
          <w:tab w:val="num" w:pos="1080"/>
        </w:tabs>
        <w:ind w:left="720" w:right="720" w:hanging="720"/>
      </w:pPr>
      <w:proofErr w:type="gramStart"/>
      <w:r>
        <w:t>Prince, A. and C. Powell.</w:t>
      </w:r>
      <w:proofErr w:type="gramEnd"/>
      <w:r>
        <w:t xml:space="preserve">  2000.  Clove oil as an anesthetic for invasive field procedures on adult rainbow trout</w:t>
      </w:r>
      <w:proofErr w:type="gramStart"/>
      <w:r>
        <w:t xml:space="preserve">. </w:t>
      </w:r>
      <w:proofErr w:type="gramEnd"/>
      <w:r>
        <w:t>North American Journal of Fisher</w:t>
      </w:r>
      <w:r>
        <w:t xml:space="preserve">ies Management 20: 1029-1032.  </w:t>
      </w:r>
    </w:p>
    <w:p w:rsidR="00000000" w:rsidRDefault="00D93457">
      <w:pPr>
        <w:ind w:left="720" w:hanging="720"/>
      </w:pPr>
    </w:p>
    <w:p w:rsidR="00000000" w:rsidRDefault="00D93457">
      <w:pPr>
        <w:pStyle w:val="BodyTextIndent"/>
        <w:ind w:left="720" w:hanging="720"/>
      </w:pPr>
      <w:proofErr w:type="gramStart"/>
      <w:r>
        <w:t>Shively, R. S., T. P. Poe, and M. B. Sheer.</w:t>
      </w:r>
      <w:proofErr w:type="gramEnd"/>
      <w:r>
        <w:t xml:space="preserve">  1996.  Criteria for reducing predation by northern squawfish near juvenile salmonid bypass outfalls at Columbia River dams.  Regulated Rivers Research and Management 12:493-500.</w:t>
      </w:r>
    </w:p>
    <w:p w:rsidR="00000000" w:rsidRDefault="00D93457">
      <w:pPr>
        <w:pStyle w:val="BodyTextIndent"/>
        <w:ind w:left="720" w:hanging="720"/>
      </w:pPr>
    </w:p>
    <w:p w:rsidR="00000000" w:rsidRDefault="00D93457">
      <w:pPr>
        <w:pStyle w:val="BodyTextIndent3"/>
        <w:spacing w:line="240" w:lineRule="auto"/>
        <w:ind w:left="720"/>
        <w:jc w:val="left"/>
      </w:pPr>
      <w:r>
        <w:t xml:space="preserve">Wagner, P.  1990 Evaluation of the use of the McNary </w:t>
      </w:r>
      <w:proofErr w:type="gramStart"/>
      <w:r>
        <w:t>bypass</w:t>
      </w:r>
      <w:proofErr w:type="gramEnd"/>
      <w:r>
        <w:t xml:space="preserve"> system to divert adult fallbacks away from turbine intakes.  </w:t>
      </w:r>
      <w:proofErr w:type="gramStart"/>
      <w:r>
        <w:t>Report of research by Washington Department of Fisheries to U.S. Army Corps of Engineers.</w:t>
      </w:r>
      <w:proofErr w:type="gramEnd"/>
      <w:r>
        <w:t xml:space="preserve"> </w:t>
      </w:r>
    </w:p>
    <w:p w:rsidR="00000000" w:rsidRDefault="00D93457">
      <w:pPr>
        <w:tabs>
          <w:tab w:val="left" w:pos="0"/>
          <w:tab w:val="num" w:pos="1080"/>
        </w:tabs>
        <w:ind w:left="720" w:hanging="720"/>
      </w:pPr>
    </w:p>
    <w:p w:rsidR="00000000" w:rsidRDefault="00D93457">
      <w:pPr>
        <w:tabs>
          <w:tab w:val="left" w:pos="0"/>
          <w:tab w:val="num" w:pos="1080"/>
        </w:tabs>
        <w:ind w:left="720" w:hanging="720"/>
      </w:pPr>
      <w:r>
        <w:lastRenderedPageBreak/>
        <w:t>Wertheimer R.H., J.T. Dalen, and P.L. Mads</w:t>
      </w:r>
      <w:r>
        <w:t>on</w:t>
      </w:r>
      <w:proofErr w:type="gramStart"/>
      <w:r>
        <w:t xml:space="preserve">. </w:t>
      </w:r>
      <w:proofErr w:type="gramEnd"/>
      <w:r>
        <w:t xml:space="preserve">2001.  Evaluation of steelhead kelt passage routes at Bonneville Dam, </w:t>
      </w:r>
      <w:r>
        <w:rPr>
          <w:i/>
          <w:iCs/>
        </w:rPr>
        <w:t>in</w:t>
      </w:r>
      <w:r>
        <w:t xml:space="preserve"> 2000</w:t>
      </w:r>
      <w:proofErr w:type="gramStart"/>
      <w:r>
        <w:t xml:space="preserve">. </w:t>
      </w:r>
      <w:proofErr w:type="gramEnd"/>
      <w:r>
        <w:t>U.S. Army Corps of Engineers, Portland District Fish Field Unit, Bonneville Lock and Dam, Cascade Locks, Or</w:t>
      </w:r>
      <w:proofErr w:type="gramStart"/>
      <w:r>
        <w:t>. 26 pp.</w:t>
      </w:r>
      <w:proofErr w:type="gramEnd"/>
    </w:p>
    <w:p w:rsidR="00000000" w:rsidRDefault="00D93457">
      <w:pPr>
        <w:tabs>
          <w:tab w:val="left" w:pos="0"/>
          <w:tab w:val="num" w:pos="1080"/>
        </w:tabs>
        <w:ind w:left="720" w:hanging="720"/>
        <w:rPr>
          <w:b/>
          <w:bCs/>
          <w:color w:val="FF0000"/>
        </w:rPr>
      </w:pPr>
    </w:p>
    <w:p w:rsidR="00000000" w:rsidRDefault="00D93457">
      <w:pPr>
        <w:tabs>
          <w:tab w:val="left" w:pos="0"/>
          <w:tab w:val="num" w:pos="1080"/>
        </w:tabs>
        <w:ind w:left="720" w:hanging="720"/>
      </w:pPr>
      <w:proofErr w:type="gramStart"/>
      <w:r>
        <w:t>Whitney, R. R., L. D. Calvin, M. W. Erho, Jr., and C. C.</w:t>
      </w:r>
      <w:r>
        <w:t xml:space="preserve"> Coutant.</w:t>
      </w:r>
      <w:proofErr w:type="gramEnd"/>
      <w:r>
        <w:t xml:space="preserve">  1997.  Downstream passage for salmon at hydroelectric projects in the Columbia River Basin: development, installation, and evaluation</w:t>
      </w:r>
      <w:proofErr w:type="gramStart"/>
      <w:r>
        <w:t xml:space="preserve">. </w:t>
      </w:r>
      <w:proofErr w:type="gramEnd"/>
      <w:r>
        <w:t>Prepared for the Northwest Power Planning Council, Portland, Oregon, USA</w:t>
      </w:r>
      <w:proofErr w:type="gramStart"/>
      <w:r>
        <w:t>. #97-15.</w:t>
      </w:r>
      <w:proofErr w:type="gramEnd"/>
    </w:p>
    <w:p w:rsidR="00000000" w:rsidRDefault="00D93457">
      <w:pPr>
        <w:tabs>
          <w:tab w:val="left" w:pos="360"/>
          <w:tab w:val="left" w:pos="720"/>
          <w:tab w:val="left" w:pos="1080"/>
        </w:tabs>
        <w:ind w:left="810" w:hanging="810"/>
        <w:rPr>
          <w:color w:val="000000"/>
        </w:rPr>
      </w:pPr>
    </w:p>
    <w:p w:rsidR="00000000" w:rsidRDefault="00D93457">
      <w:pPr>
        <w:pStyle w:val="BodyText"/>
        <w:ind w:left="720" w:hanging="720"/>
      </w:pPr>
      <w:r>
        <w:t>Zar, J.H.  1996.  Biostatis</w:t>
      </w:r>
      <w:r>
        <w:t>tical Analysis.  Prentice Hall, Inc. Englewood Cliffs, New Jersey.</w:t>
      </w: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p>
    <w:p w:rsidR="00000000" w:rsidRDefault="00D93457">
      <w:pPr>
        <w:pStyle w:val="BodyText"/>
        <w:keepLines/>
        <w:tabs>
          <w:tab w:val="left" w:pos="1620"/>
          <w:tab w:val="left" w:pos="8298"/>
        </w:tabs>
        <w:jc w:val="center"/>
        <w:rPr>
          <w:b/>
          <w:bCs/>
          <w:sz w:val="28"/>
          <w:u w:val="single"/>
        </w:rPr>
      </w:pPr>
      <w:r>
        <w:rPr>
          <w:b/>
          <w:bCs/>
          <w:sz w:val="28"/>
          <w:u w:val="single"/>
        </w:rPr>
        <w:lastRenderedPageBreak/>
        <w:t>Appendix A</w:t>
      </w:r>
    </w:p>
    <w:p w:rsidR="00000000" w:rsidRDefault="00D93457">
      <w:pPr>
        <w:pStyle w:val="BodyText"/>
        <w:tabs>
          <w:tab w:val="left" w:pos="1620"/>
          <w:tab w:val="left" w:pos="8298"/>
        </w:tabs>
        <w:rPr>
          <w:rFonts w:ascii="Arial" w:hAnsi="Arial"/>
        </w:rPr>
      </w:pPr>
    </w:p>
    <w:p w:rsidR="00000000" w:rsidRDefault="00D93457">
      <w:pPr>
        <w:pStyle w:val="BodyText"/>
        <w:tabs>
          <w:tab w:val="left" w:pos="1620"/>
          <w:tab w:val="left" w:pos="8298"/>
        </w:tabs>
        <w:ind w:left="-180"/>
        <w:rPr>
          <w:rFonts w:ascii="Arial" w:hAnsi="Arial"/>
          <w:sz w:val="18"/>
        </w:rPr>
      </w:pPr>
      <w:proofErr w:type="gramStart"/>
      <w:r>
        <w:rPr>
          <w:rFonts w:ascii="Arial" w:hAnsi="Arial"/>
          <w:sz w:val="18"/>
        </w:rPr>
        <w:t>Table A-1.</w:t>
      </w:r>
      <w:proofErr w:type="gramEnd"/>
      <w:r>
        <w:rPr>
          <w:rFonts w:ascii="Arial" w:hAnsi="Arial"/>
          <w:sz w:val="18"/>
        </w:rPr>
        <w:t xml:space="preserve">  Summary of the sample date, sample size (n), sample mean, standard deviation (SD), fork length (cm), sex, origin, ultrasound diagnostic</w:t>
      </w:r>
      <w:r>
        <w:rPr>
          <w:rFonts w:ascii="Arial" w:hAnsi="Arial"/>
          <w:sz w:val="18"/>
        </w:rPr>
        <w:t xml:space="preserve">, and recaptures of steelhead at McNary Dam in spring of 2001.  </w:t>
      </w:r>
    </w:p>
    <w:p w:rsidR="00000000" w:rsidRDefault="00D93457">
      <w:pPr>
        <w:pStyle w:val="BodyText"/>
        <w:tabs>
          <w:tab w:val="left" w:pos="1980"/>
          <w:tab w:val="left" w:pos="9900"/>
        </w:tabs>
        <w:ind w:left="-180"/>
        <w:jc w:val="center"/>
        <w:rPr>
          <w:rFonts w:ascii="Arial" w:hAnsi="Arial"/>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637"/>
        <w:gridCol w:w="780"/>
        <w:gridCol w:w="699"/>
        <w:gridCol w:w="940"/>
        <w:gridCol w:w="485"/>
        <w:gridCol w:w="493"/>
        <w:gridCol w:w="493"/>
        <w:gridCol w:w="565"/>
        <w:gridCol w:w="646"/>
        <w:gridCol w:w="665"/>
        <w:gridCol w:w="684"/>
        <w:gridCol w:w="909"/>
      </w:tblGrid>
      <w:tr w:rsidR="00000000">
        <w:tblPrEx>
          <w:tblCellMar>
            <w:top w:w="0" w:type="dxa"/>
            <w:bottom w:w="0" w:type="dxa"/>
          </w:tblCellMar>
        </w:tblPrEx>
        <w:trPr>
          <w:cantSplit/>
          <w:trHeight w:val="503"/>
          <w:jc w:val="center"/>
        </w:trPr>
        <w:tc>
          <w:tcPr>
            <w:tcW w:w="1641"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531"/>
              <w:rPr>
                <w:rFonts w:ascii="Arial" w:hAnsi="Arial"/>
                <w:b/>
                <w:bCs/>
                <w:sz w:val="18"/>
                <w:u w:val="single"/>
              </w:rPr>
            </w:pPr>
            <w:r>
              <w:rPr>
                <w:rFonts w:ascii="Arial" w:hAnsi="Arial"/>
                <w:b/>
                <w:bCs/>
                <w:sz w:val="18"/>
                <w:u w:val="single"/>
              </w:rPr>
              <w:t>McNary Sample</w:t>
            </w:r>
          </w:p>
          <w:p w:rsidR="00000000" w:rsidRDefault="00D93457">
            <w:pPr>
              <w:pStyle w:val="BodyText"/>
              <w:tabs>
                <w:tab w:val="left" w:pos="352"/>
                <w:tab w:val="left" w:pos="9900"/>
              </w:tabs>
              <w:ind w:left="-8" w:right="-396" w:firstLine="8"/>
              <w:rPr>
                <w:rFonts w:ascii="Arial" w:hAnsi="Arial"/>
                <w:b/>
                <w:bCs/>
                <w:sz w:val="18"/>
              </w:rPr>
            </w:pPr>
            <w:r>
              <w:rPr>
                <w:rFonts w:ascii="Arial" w:hAnsi="Arial"/>
                <w:b/>
                <w:bCs/>
                <w:sz w:val="18"/>
              </w:rPr>
              <w:t xml:space="preserve">Date               </w:t>
            </w:r>
            <w:r>
              <w:rPr>
                <w:rFonts w:ascii="Arial" w:hAnsi="Arial"/>
                <w:b/>
                <w:bCs/>
                <w:sz w:val="18"/>
                <w:u w:val="single"/>
              </w:rPr>
              <w:t>n</w:t>
            </w:r>
          </w:p>
        </w:tc>
        <w:tc>
          <w:tcPr>
            <w:tcW w:w="2419"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rPr>
                <w:rFonts w:ascii="Arial" w:hAnsi="Arial"/>
                <w:b/>
                <w:bCs/>
                <w:sz w:val="18"/>
                <w:u w:val="single"/>
              </w:rPr>
            </w:pPr>
            <w:r>
              <w:rPr>
                <w:rFonts w:ascii="Arial" w:hAnsi="Arial"/>
                <w:b/>
                <w:bCs/>
                <w:sz w:val="18"/>
              </w:rPr>
              <w:t xml:space="preserve">     </w:t>
            </w:r>
            <w:r>
              <w:rPr>
                <w:rFonts w:ascii="Arial" w:hAnsi="Arial"/>
                <w:b/>
                <w:bCs/>
                <w:sz w:val="18"/>
                <w:u w:val="single"/>
              </w:rPr>
              <w:t xml:space="preserve">Fork Length  (cm)  </w:t>
            </w:r>
          </w:p>
          <w:p w:rsidR="00000000" w:rsidRDefault="00D93457">
            <w:pPr>
              <w:pStyle w:val="BodyText"/>
              <w:tabs>
                <w:tab w:val="left" w:pos="702"/>
                <w:tab w:val="left" w:pos="9900"/>
              </w:tabs>
              <w:rPr>
                <w:rFonts w:ascii="Arial" w:hAnsi="Arial"/>
                <w:b/>
                <w:bCs/>
                <w:sz w:val="18"/>
              </w:rPr>
            </w:pPr>
            <w:r>
              <w:rPr>
                <w:rFonts w:ascii="Arial" w:hAnsi="Arial"/>
                <w:b/>
                <w:bCs/>
                <w:sz w:val="18"/>
              </w:rPr>
              <w:t xml:space="preserve"> Mean        SD        Range</w:t>
            </w:r>
          </w:p>
        </w:tc>
        <w:tc>
          <w:tcPr>
            <w:tcW w:w="1471"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18"/>
              <w:jc w:val="center"/>
              <w:rPr>
                <w:rFonts w:ascii="Arial" w:hAnsi="Arial"/>
                <w:b/>
                <w:bCs/>
                <w:sz w:val="18"/>
                <w:u w:val="single"/>
              </w:rPr>
            </w:pPr>
            <w:r>
              <w:rPr>
                <w:rFonts w:ascii="Arial" w:hAnsi="Arial"/>
                <w:b/>
                <w:bCs/>
                <w:sz w:val="18"/>
                <w:u w:val="single"/>
              </w:rPr>
              <w:t>Sex</w:t>
            </w:r>
          </w:p>
          <w:p w:rsidR="00000000" w:rsidRDefault="00D93457">
            <w:pPr>
              <w:pStyle w:val="BodyText"/>
              <w:tabs>
                <w:tab w:val="left" w:pos="9900"/>
              </w:tabs>
              <w:ind w:right="-18"/>
              <w:jc w:val="center"/>
              <w:rPr>
                <w:rFonts w:ascii="Arial" w:hAnsi="Arial"/>
                <w:b/>
                <w:bCs/>
                <w:sz w:val="18"/>
              </w:rPr>
            </w:pPr>
            <w:r>
              <w:rPr>
                <w:rFonts w:ascii="Arial" w:hAnsi="Arial"/>
                <w:b/>
                <w:bCs/>
                <w:sz w:val="18"/>
              </w:rPr>
              <w:t>M       F      UN</w:t>
            </w:r>
          </w:p>
        </w:tc>
        <w:tc>
          <w:tcPr>
            <w:tcW w:w="1211"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63"/>
              <w:jc w:val="center"/>
              <w:rPr>
                <w:rFonts w:ascii="Arial" w:hAnsi="Arial"/>
                <w:b/>
                <w:bCs/>
                <w:sz w:val="18"/>
                <w:u w:val="single"/>
              </w:rPr>
            </w:pPr>
            <w:r>
              <w:rPr>
                <w:rFonts w:ascii="Arial" w:hAnsi="Arial"/>
                <w:b/>
                <w:bCs/>
                <w:sz w:val="18"/>
                <w:u w:val="single"/>
              </w:rPr>
              <w:t>Origin</w:t>
            </w:r>
          </w:p>
          <w:p w:rsidR="00000000" w:rsidRDefault="00D93457">
            <w:pPr>
              <w:pStyle w:val="BodyText"/>
              <w:tabs>
                <w:tab w:val="left" w:pos="9900"/>
              </w:tabs>
              <w:ind w:right="-63"/>
              <w:jc w:val="center"/>
              <w:rPr>
                <w:rFonts w:ascii="Arial" w:hAnsi="Arial"/>
                <w:b/>
                <w:bCs/>
                <w:sz w:val="18"/>
              </w:rPr>
            </w:pPr>
            <w:r>
              <w:rPr>
                <w:rFonts w:ascii="Arial" w:hAnsi="Arial"/>
                <w:b/>
                <w:bCs/>
                <w:sz w:val="18"/>
              </w:rPr>
              <w:t>Wild   Hatch</w:t>
            </w:r>
          </w:p>
        </w:tc>
        <w:tc>
          <w:tcPr>
            <w:tcW w:w="1349"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0"/>
              <w:jc w:val="center"/>
              <w:rPr>
                <w:rFonts w:ascii="Arial" w:hAnsi="Arial"/>
                <w:b/>
                <w:bCs/>
                <w:sz w:val="18"/>
                <w:u w:val="single"/>
              </w:rPr>
            </w:pPr>
            <w:r>
              <w:rPr>
                <w:rFonts w:ascii="Arial" w:hAnsi="Arial"/>
                <w:b/>
                <w:bCs/>
                <w:sz w:val="18"/>
                <w:u w:val="single"/>
              </w:rPr>
              <w:t>Ultrasound</w:t>
            </w:r>
          </w:p>
          <w:p w:rsidR="00000000" w:rsidRDefault="00D93457">
            <w:pPr>
              <w:pStyle w:val="BodyText"/>
              <w:tabs>
                <w:tab w:val="left" w:pos="9900"/>
              </w:tabs>
              <w:ind w:right="0"/>
              <w:jc w:val="center"/>
              <w:rPr>
                <w:rFonts w:ascii="Arial" w:hAnsi="Arial"/>
                <w:b/>
                <w:bCs/>
                <w:sz w:val="20"/>
              </w:rPr>
            </w:pPr>
            <w:r>
              <w:rPr>
                <w:rFonts w:ascii="Arial" w:hAnsi="Arial"/>
                <w:b/>
                <w:bCs/>
                <w:sz w:val="18"/>
              </w:rPr>
              <w:t>Pre        Kelt</w:t>
            </w:r>
          </w:p>
        </w:tc>
        <w:tc>
          <w:tcPr>
            <w:tcW w:w="909" w:type="dxa"/>
            <w:vAlign w:val="center"/>
          </w:tcPr>
          <w:p w:rsidR="00000000" w:rsidRDefault="00D93457">
            <w:pPr>
              <w:rPr>
                <w:rFonts w:ascii="Arial" w:hAnsi="Arial"/>
                <w:b/>
                <w:bCs/>
                <w:sz w:val="18"/>
                <w:u w:val="single"/>
              </w:rPr>
            </w:pPr>
            <w:r>
              <w:rPr>
                <w:rFonts w:ascii="Arial" w:hAnsi="Arial"/>
                <w:b/>
                <w:bCs/>
                <w:sz w:val="18"/>
                <w:u w:val="single"/>
              </w:rPr>
              <w:t>Recaps</w:t>
            </w:r>
          </w:p>
          <w:p w:rsidR="00000000" w:rsidRDefault="00D93457">
            <w:pPr>
              <w:rPr>
                <w:rFonts w:ascii="Arial" w:hAnsi="Arial"/>
                <w:b/>
                <w:bCs/>
                <w:sz w:val="20"/>
              </w:rPr>
            </w:pPr>
            <w:r>
              <w:rPr>
                <w:rFonts w:ascii="Arial" w:hAnsi="Arial"/>
                <w:b/>
                <w:bCs/>
                <w:sz w:val="18"/>
              </w:rPr>
              <w:t>LGR</w:t>
            </w:r>
          </w:p>
        </w:tc>
      </w:tr>
      <w:tr w:rsidR="00000000">
        <w:tblPrEx>
          <w:tblCellMar>
            <w:top w:w="0" w:type="dxa"/>
            <w:bottom w:w="0" w:type="dxa"/>
          </w:tblCellMar>
        </w:tblPrEx>
        <w:trPr>
          <w:cantSplit/>
          <w:trHeight w:val="288"/>
          <w:jc w:val="center"/>
        </w:trPr>
        <w:tc>
          <w:tcPr>
            <w:tcW w:w="1004"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171"/>
              <w:rPr>
                <w:rFonts w:ascii="Arial" w:hAnsi="Arial"/>
                <w:sz w:val="18"/>
              </w:rPr>
            </w:pPr>
            <w:r>
              <w:rPr>
                <w:rFonts w:ascii="Arial" w:hAnsi="Arial"/>
                <w:sz w:val="18"/>
              </w:rPr>
              <w:t>April 3</w:t>
            </w:r>
          </w:p>
        </w:tc>
        <w:tc>
          <w:tcPr>
            <w:tcW w:w="637"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316"/>
              <w:rPr>
                <w:rFonts w:ascii="Arial" w:hAnsi="Arial"/>
                <w:sz w:val="18"/>
              </w:rPr>
            </w:pPr>
            <w:r>
              <w:rPr>
                <w:rFonts w:ascii="Arial" w:hAnsi="Arial"/>
                <w:sz w:val="18"/>
              </w:rPr>
              <w:t>6</w:t>
            </w:r>
          </w:p>
        </w:tc>
        <w:tc>
          <w:tcPr>
            <w:tcW w:w="780"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55.3</w:t>
            </w:r>
          </w:p>
        </w:tc>
        <w:tc>
          <w:tcPr>
            <w:tcW w:w="699"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2.2</w:t>
            </w:r>
          </w:p>
        </w:tc>
        <w:tc>
          <w:tcPr>
            <w:tcW w:w="940"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288"/>
              <w:rPr>
                <w:rFonts w:ascii="Arial" w:hAnsi="Arial"/>
                <w:sz w:val="18"/>
              </w:rPr>
            </w:pPr>
            <w:r>
              <w:rPr>
                <w:rFonts w:ascii="Arial" w:hAnsi="Arial"/>
                <w:sz w:val="18"/>
              </w:rPr>
              <w:t>5</w:t>
            </w:r>
            <w:r>
              <w:rPr>
                <w:rFonts w:ascii="Arial" w:hAnsi="Arial"/>
                <w:sz w:val="18"/>
              </w:rPr>
              <w:t>3-58</w:t>
            </w:r>
          </w:p>
        </w:tc>
        <w:tc>
          <w:tcPr>
            <w:tcW w:w="485"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468"/>
              <w:rPr>
                <w:rFonts w:ascii="Arial" w:hAnsi="Arial"/>
                <w:sz w:val="18"/>
              </w:rPr>
            </w:pPr>
            <w:r>
              <w:rPr>
                <w:rFonts w:ascii="Arial" w:hAnsi="Arial"/>
                <w:sz w:val="18"/>
              </w:rPr>
              <w:t>1</w:t>
            </w:r>
          </w:p>
        </w:tc>
        <w:tc>
          <w:tcPr>
            <w:tcW w:w="493"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4</w:t>
            </w:r>
          </w:p>
        </w:tc>
        <w:tc>
          <w:tcPr>
            <w:tcW w:w="493"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1</w:t>
            </w:r>
          </w:p>
        </w:tc>
        <w:tc>
          <w:tcPr>
            <w:tcW w:w="565"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4</w:t>
            </w:r>
          </w:p>
        </w:tc>
        <w:tc>
          <w:tcPr>
            <w:tcW w:w="646"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2</w:t>
            </w:r>
          </w:p>
        </w:tc>
        <w:tc>
          <w:tcPr>
            <w:tcW w:w="665" w:type="dxa"/>
            <w:tcBorders>
              <w:top w:val="thinThickSmallGap" w:sz="12" w:space="0" w:color="auto"/>
              <w:left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3</w:t>
            </w:r>
          </w:p>
        </w:tc>
        <w:tc>
          <w:tcPr>
            <w:tcW w:w="684" w:type="dxa"/>
            <w:tcBorders>
              <w:top w:val="thinThickSmallGap" w:sz="12" w:space="0" w:color="auto"/>
              <w:left w:val="single" w:sz="4" w:space="0" w:color="auto"/>
              <w:right w:val="single" w:sz="4" w:space="0" w:color="auto"/>
            </w:tcBorders>
            <w:vAlign w:val="center"/>
          </w:tcPr>
          <w:p w:rsidR="00000000" w:rsidRDefault="00D93457">
            <w:pPr>
              <w:tabs>
                <w:tab w:val="left" w:pos="9900"/>
              </w:tabs>
              <w:ind w:right="-108"/>
              <w:rPr>
                <w:rFonts w:ascii="Arial" w:hAnsi="Arial"/>
                <w:sz w:val="18"/>
              </w:rPr>
            </w:pPr>
            <w:r>
              <w:rPr>
                <w:rFonts w:ascii="Arial" w:hAnsi="Arial"/>
                <w:sz w:val="18"/>
              </w:rPr>
              <w:t>3</w:t>
            </w:r>
          </w:p>
        </w:tc>
        <w:tc>
          <w:tcPr>
            <w:tcW w:w="909" w:type="dxa"/>
            <w:tcBorders>
              <w:top w:val="thinThickSmallGap" w:sz="12" w:space="0" w:color="auto"/>
              <w:left w:val="single" w:sz="4" w:space="0" w:color="auto"/>
              <w:right w:val="single" w:sz="4" w:space="0" w:color="auto"/>
            </w:tcBorders>
            <w:vAlign w:val="center"/>
          </w:tcPr>
          <w:p w:rsidR="00000000" w:rsidRDefault="00D93457">
            <w:pPr>
              <w:tabs>
                <w:tab w:val="left" w:pos="9900"/>
              </w:tabs>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171"/>
              <w:rPr>
                <w:rFonts w:ascii="Arial" w:hAnsi="Arial"/>
                <w:sz w:val="18"/>
              </w:rPr>
            </w:pPr>
            <w:r>
              <w:rPr>
                <w:rFonts w:ascii="Arial" w:hAnsi="Arial"/>
                <w:sz w:val="18"/>
              </w:rPr>
              <w:t>April 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316"/>
              <w:rPr>
                <w:rFonts w:ascii="Arial" w:hAnsi="Arial"/>
                <w:sz w:val="18"/>
              </w:rPr>
            </w:pPr>
            <w:r>
              <w:rPr>
                <w:rFonts w:ascii="Arial" w:hAnsi="Arial"/>
                <w:sz w:val="18"/>
              </w:rPr>
              <w:t>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55.3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8.7</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rPr>
                <w:rFonts w:ascii="Arial" w:hAnsi="Arial"/>
                <w:sz w:val="18"/>
              </w:rPr>
            </w:pPr>
            <w:r>
              <w:rPr>
                <w:rFonts w:ascii="Arial" w:hAnsi="Arial"/>
                <w:sz w:val="18"/>
              </w:rPr>
              <w:t>48-65</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3</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3</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0</w:t>
            </w:r>
          </w:p>
        </w:tc>
        <w:tc>
          <w:tcPr>
            <w:tcW w:w="665" w:type="dxa"/>
            <w:tcBorders>
              <w:left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0</w:t>
            </w:r>
          </w:p>
        </w:tc>
        <w:tc>
          <w:tcPr>
            <w:tcW w:w="684" w:type="dxa"/>
            <w:tcBorders>
              <w:left w:val="single" w:sz="4" w:space="0" w:color="auto"/>
              <w:right w:val="single" w:sz="4" w:space="0" w:color="auto"/>
            </w:tcBorders>
            <w:vAlign w:val="center"/>
          </w:tcPr>
          <w:p w:rsidR="00000000" w:rsidRDefault="00D93457">
            <w:pPr>
              <w:tabs>
                <w:tab w:val="left" w:pos="9900"/>
              </w:tabs>
              <w:ind w:right="-108"/>
              <w:rPr>
                <w:rFonts w:ascii="Arial" w:hAnsi="Arial"/>
                <w:sz w:val="18"/>
              </w:rPr>
            </w:pPr>
            <w:r>
              <w:rPr>
                <w:rFonts w:ascii="Arial" w:hAnsi="Arial"/>
                <w:sz w:val="18"/>
              </w:rPr>
              <w:t>3</w:t>
            </w:r>
          </w:p>
        </w:tc>
        <w:tc>
          <w:tcPr>
            <w:tcW w:w="909" w:type="dxa"/>
            <w:tcBorders>
              <w:left w:val="single" w:sz="4" w:space="0" w:color="auto"/>
              <w:right w:val="single" w:sz="4" w:space="0" w:color="auto"/>
            </w:tcBorders>
            <w:vAlign w:val="center"/>
          </w:tcPr>
          <w:p w:rsidR="00000000" w:rsidRDefault="00D93457">
            <w:pPr>
              <w:tabs>
                <w:tab w:val="left" w:pos="9900"/>
              </w:tabs>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April 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316"/>
              <w:rPr>
                <w:rFonts w:ascii="Arial" w:hAnsi="Arial"/>
                <w:sz w:val="18"/>
              </w:rPr>
            </w:pPr>
            <w:r>
              <w:rPr>
                <w:rFonts w:ascii="Arial" w:hAnsi="Arial"/>
                <w:sz w:val="18"/>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66.9</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10.4</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rPr>
                <w:rFonts w:ascii="Arial" w:hAnsi="Arial"/>
                <w:sz w:val="18"/>
              </w:rPr>
            </w:pPr>
            <w:r>
              <w:rPr>
                <w:rFonts w:ascii="Arial" w:hAnsi="Arial"/>
                <w:sz w:val="18"/>
              </w:rPr>
              <w:t>49-79</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9</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7</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4</w:t>
            </w:r>
          </w:p>
        </w:tc>
        <w:tc>
          <w:tcPr>
            <w:tcW w:w="665" w:type="dxa"/>
            <w:tcBorders>
              <w:left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6</w:t>
            </w:r>
          </w:p>
        </w:tc>
        <w:tc>
          <w:tcPr>
            <w:tcW w:w="684" w:type="dxa"/>
            <w:tcBorders>
              <w:left w:val="single" w:sz="4" w:space="0" w:color="auto"/>
              <w:right w:val="single" w:sz="4" w:space="0" w:color="auto"/>
            </w:tcBorders>
            <w:vAlign w:val="center"/>
          </w:tcPr>
          <w:p w:rsidR="00000000" w:rsidRDefault="00D93457">
            <w:pPr>
              <w:tabs>
                <w:tab w:val="left" w:pos="9900"/>
              </w:tabs>
              <w:ind w:right="-108"/>
              <w:rPr>
                <w:rFonts w:ascii="Arial" w:hAnsi="Arial"/>
                <w:sz w:val="18"/>
              </w:rPr>
            </w:pPr>
            <w:r>
              <w:rPr>
                <w:rFonts w:ascii="Arial" w:hAnsi="Arial"/>
                <w:sz w:val="18"/>
              </w:rPr>
              <w:t>5</w:t>
            </w:r>
          </w:p>
        </w:tc>
        <w:tc>
          <w:tcPr>
            <w:tcW w:w="909" w:type="dxa"/>
            <w:tcBorders>
              <w:left w:val="single" w:sz="4" w:space="0" w:color="auto"/>
              <w:right w:val="single" w:sz="4" w:space="0" w:color="auto"/>
            </w:tcBorders>
            <w:vAlign w:val="center"/>
          </w:tcPr>
          <w:p w:rsidR="00000000" w:rsidRDefault="00D93457">
            <w:pPr>
              <w:tabs>
                <w:tab w:val="left" w:pos="9900"/>
              </w:tabs>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10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64.6</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4.3</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57-72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11</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6</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13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7.8</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39-74</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20</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12</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16</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17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64.8</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54-70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5</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18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61.9</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8.5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42-72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11</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13</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20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63.9</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9.1</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55-74</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11</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24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63.9</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9.1</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53-76</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10</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25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65.3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6.7</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59-78</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9</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April 27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57-74</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7</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7.3</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53-72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10</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w:t>
            </w:r>
            <w:r>
              <w:rPr>
                <w:rFonts w:ascii="Arial" w:hAnsi="Arial"/>
                <w:sz w:val="18"/>
              </w:rPr>
              <w:t>ay2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8.5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45-77</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9</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17</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20</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60.7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5.0</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54-70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11</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55-69</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9</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 xml:space="preserve">May 9 </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55.4</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7.2</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44-66</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9</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11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54-72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10</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10</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15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61.5</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8.9</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41-79</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9</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13</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w:t>
            </w:r>
            <w:r>
              <w:rPr>
                <w:rFonts w:ascii="Arial" w:hAnsi="Arial"/>
                <w:sz w:val="18"/>
              </w:rPr>
              <w:t>y 16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35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60.7</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42-70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14</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21</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14</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32</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18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60.1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5.3</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52-71</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14</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20</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22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31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7.0</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49-72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18</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12</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28</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23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30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59.1</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49-72</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15</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12</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16</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27</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2</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May 25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64.0</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7.0</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51-75</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9</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17</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4" w:space="0" w:color="auto"/>
              <w:left w:val="single" w:sz="4" w:space="0" w:color="auto"/>
              <w:bottom w:val="single" w:sz="2" w:space="0" w:color="auto"/>
              <w:right w:val="single" w:sz="4" w:space="0" w:color="auto"/>
            </w:tcBorders>
            <w:vAlign w:val="center"/>
          </w:tcPr>
          <w:p w:rsidR="00000000" w:rsidRDefault="00D93457">
            <w:pPr>
              <w:ind w:right="-720"/>
              <w:rPr>
                <w:rFonts w:ascii="Arial" w:hAnsi="Arial"/>
                <w:sz w:val="18"/>
              </w:rPr>
            </w:pPr>
            <w:r>
              <w:rPr>
                <w:rFonts w:ascii="Arial" w:hAnsi="Arial"/>
                <w:sz w:val="18"/>
              </w:rPr>
              <w:t>May 29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60.3</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6.5</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52-80</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11</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15</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2"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sz w:val="18"/>
              </w:rPr>
            </w:pPr>
            <w:r>
              <w:rPr>
                <w:rFonts w:ascii="Arial" w:hAnsi="Arial"/>
                <w:sz w:val="18"/>
              </w:rPr>
              <w:t>May 30</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63.4</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8.7</w:t>
            </w:r>
          </w:p>
        </w:tc>
        <w:tc>
          <w:tcPr>
            <w:tcW w:w="940"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51-76</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56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6"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65" w:type="dxa"/>
            <w:tcBorders>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84"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10</w:t>
            </w:r>
          </w:p>
        </w:tc>
        <w:tc>
          <w:tcPr>
            <w:tcW w:w="909" w:type="dxa"/>
            <w:tcBorders>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004" w:type="dxa"/>
            <w:tcBorders>
              <w:top w:val="single" w:sz="4" w:space="0" w:color="auto"/>
              <w:left w:val="single" w:sz="2" w:space="0" w:color="auto"/>
              <w:bottom w:val="single" w:sz="6" w:space="0" w:color="auto"/>
              <w:right w:val="single" w:sz="2" w:space="0" w:color="auto"/>
            </w:tcBorders>
            <w:vAlign w:val="center"/>
          </w:tcPr>
          <w:p w:rsidR="00000000" w:rsidRDefault="00D93457">
            <w:pPr>
              <w:ind w:right="-720"/>
              <w:rPr>
                <w:rFonts w:ascii="Arial" w:hAnsi="Arial"/>
                <w:sz w:val="18"/>
              </w:rPr>
            </w:pPr>
            <w:r>
              <w:rPr>
                <w:rFonts w:ascii="Arial" w:hAnsi="Arial"/>
                <w:sz w:val="18"/>
              </w:rPr>
              <w:t>June 1</w:t>
            </w:r>
          </w:p>
        </w:tc>
        <w:tc>
          <w:tcPr>
            <w:tcW w:w="637" w:type="dxa"/>
            <w:tcBorders>
              <w:top w:val="single" w:sz="4" w:space="0" w:color="auto"/>
              <w:left w:val="single" w:sz="2" w:space="0" w:color="auto"/>
              <w:bottom w:val="single" w:sz="6" w:space="0" w:color="auto"/>
              <w:right w:val="single" w:sz="4" w:space="0" w:color="auto"/>
            </w:tcBorders>
            <w:vAlign w:val="center"/>
          </w:tcPr>
          <w:p w:rsidR="00000000" w:rsidRDefault="00D93457">
            <w:pPr>
              <w:ind w:right="-316"/>
              <w:rPr>
                <w:rFonts w:ascii="Arial" w:hAnsi="Arial"/>
                <w:sz w:val="18"/>
              </w:rPr>
            </w:pPr>
            <w:r>
              <w:rPr>
                <w:rFonts w:ascii="Arial" w:hAnsi="Arial"/>
                <w:sz w:val="18"/>
              </w:rPr>
              <w:t>9</w:t>
            </w:r>
          </w:p>
        </w:tc>
        <w:tc>
          <w:tcPr>
            <w:tcW w:w="780" w:type="dxa"/>
            <w:tcBorders>
              <w:top w:val="single" w:sz="4" w:space="0" w:color="auto"/>
              <w:left w:val="single" w:sz="4" w:space="0" w:color="auto"/>
              <w:bottom w:val="single" w:sz="6"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62.1</w:t>
            </w:r>
          </w:p>
        </w:tc>
        <w:tc>
          <w:tcPr>
            <w:tcW w:w="699" w:type="dxa"/>
            <w:tcBorders>
              <w:top w:val="single" w:sz="4" w:space="0" w:color="auto"/>
              <w:left w:val="single" w:sz="4" w:space="0" w:color="auto"/>
              <w:bottom w:val="single" w:sz="6"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7.5</w:t>
            </w:r>
          </w:p>
        </w:tc>
        <w:tc>
          <w:tcPr>
            <w:tcW w:w="940" w:type="dxa"/>
            <w:tcBorders>
              <w:top w:val="single" w:sz="4" w:space="0" w:color="auto"/>
              <w:left w:val="single" w:sz="4" w:space="0" w:color="auto"/>
              <w:bottom w:val="single" w:sz="6" w:space="0" w:color="auto"/>
              <w:right w:val="single" w:sz="4" w:space="0" w:color="auto"/>
            </w:tcBorders>
            <w:vAlign w:val="center"/>
          </w:tcPr>
          <w:p w:rsidR="00000000" w:rsidRDefault="00D93457">
            <w:pPr>
              <w:ind w:right="-288"/>
              <w:rPr>
                <w:rFonts w:ascii="Arial" w:hAnsi="Arial"/>
                <w:sz w:val="18"/>
              </w:rPr>
            </w:pPr>
            <w:r>
              <w:rPr>
                <w:rFonts w:ascii="Arial" w:hAnsi="Arial"/>
                <w:sz w:val="18"/>
              </w:rPr>
              <w:t>54-76</w:t>
            </w:r>
          </w:p>
        </w:tc>
        <w:tc>
          <w:tcPr>
            <w:tcW w:w="485" w:type="dxa"/>
            <w:tcBorders>
              <w:top w:val="single" w:sz="4" w:space="0" w:color="auto"/>
              <w:left w:val="single" w:sz="4" w:space="0" w:color="auto"/>
              <w:bottom w:val="single" w:sz="6"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493" w:type="dxa"/>
            <w:tcBorders>
              <w:top w:val="single" w:sz="4" w:space="0" w:color="auto"/>
              <w:left w:val="single" w:sz="4" w:space="0" w:color="auto"/>
              <w:bottom w:val="single" w:sz="6"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565" w:type="dxa"/>
            <w:tcBorders>
              <w:top w:val="single" w:sz="4" w:space="0" w:color="auto"/>
              <w:left w:val="single" w:sz="4" w:space="0" w:color="auto"/>
              <w:bottom w:val="single" w:sz="6"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646" w:type="dxa"/>
            <w:tcBorders>
              <w:top w:val="single" w:sz="4" w:space="0" w:color="auto"/>
              <w:left w:val="single" w:sz="4" w:space="0" w:color="auto"/>
              <w:bottom w:val="single" w:sz="6"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665" w:type="dxa"/>
            <w:tcBorders>
              <w:left w:val="single" w:sz="4" w:space="0" w:color="auto"/>
              <w:bottom w:val="single" w:sz="6"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84" w:type="dxa"/>
            <w:tcBorders>
              <w:left w:val="single" w:sz="4" w:space="0" w:color="auto"/>
              <w:bottom w:val="single" w:sz="6" w:space="0" w:color="auto"/>
              <w:right w:val="single" w:sz="4" w:space="0" w:color="auto"/>
            </w:tcBorders>
            <w:vAlign w:val="center"/>
          </w:tcPr>
          <w:p w:rsidR="00000000" w:rsidRDefault="00D93457">
            <w:pPr>
              <w:ind w:right="-108"/>
              <w:rPr>
                <w:rFonts w:ascii="Arial" w:hAnsi="Arial"/>
                <w:sz w:val="18"/>
              </w:rPr>
            </w:pPr>
            <w:r>
              <w:rPr>
                <w:rFonts w:ascii="Arial" w:hAnsi="Arial"/>
                <w:sz w:val="18"/>
              </w:rPr>
              <w:t>9</w:t>
            </w:r>
          </w:p>
        </w:tc>
        <w:tc>
          <w:tcPr>
            <w:tcW w:w="909" w:type="dxa"/>
            <w:tcBorders>
              <w:left w:val="single" w:sz="4" w:space="0" w:color="auto"/>
              <w:bottom w:val="single" w:sz="6" w:space="0" w:color="auto"/>
              <w:right w:val="single" w:sz="4" w:space="0" w:color="auto"/>
            </w:tcBorders>
            <w:vAlign w:val="center"/>
          </w:tcPr>
          <w:p w:rsidR="00000000" w:rsidRDefault="00D93457">
            <w:pPr>
              <w:ind w:right="-108"/>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004" w:type="dxa"/>
            <w:tcBorders>
              <w:top w:val="single" w:sz="6" w:space="0" w:color="auto"/>
              <w:left w:val="single" w:sz="6" w:space="0" w:color="auto"/>
              <w:bottom w:val="single" w:sz="4" w:space="0" w:color="auto"/>
              <w:right w:val="single" w:sz="2" w:space="0" w:color="auto"/>
            </w:tcBorders>
            <w:vAlign w:val="center"/>
          </w:tcPr>
          <w:p w:rsidR="00000000" w:rsidRDefault="00D93457">
            <w:pPr>
              <w:ind w:right="-720"/>
              <w:rPr>
                <w:rFonts w:ascii="Arial" w:hAnsi="Arial"/>
                <w:sz w:val="18"/>
              </w:rPr>
            </w:pPr>
            <w:r>
              <w:rPr>
                <w:rFonts w:ascii="Arial" w:hAnsi="Arial"/>
                <w:sz w:val="18"/>
              </w:rPr>
              <w:t>Total</w:t>
            </w:r>
          </w:p>
        </w:tc>
        <w:tc>
          <w:tcPr>
            <w:tcW w:w="637" w:type="dxa"/>
            <w:tcBorders>
              <w:top w:val="single" w:sz="6"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387</w:t>
            </w:r>
          </w:p>
        </w:tc>
        <w:tc>
          <w:tcPr>
            <w:tcW w:w="780" w:type="dxa"/>
            <w:tcBorders>
              <w:top w:val="single" w:sz="6"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w:t>
            </w:r>
          </w:p>
        </w:tc>
        <w:tc>
          <w:tcPr>
            <w:tcW w:w="699" w:type="dxa"/>
            <w:tcBorders>
              <w:top w:val="single" w:sz="6"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w:t>
            </w:r>
          </w:p>
        </w:tc>
        <w:tc>
          <w:tcPr>
            <w:tcW w:w="940" w:type="dxa"/>
            <w:tcBorders>
              <w:top w:val="single" w:sz="6"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w:t>
            </w:r>
          </w:p>
        </w:tc>
        <w:tc>
          <w:tcPr>
            <w:tcW w:w="485" w:type="dxa"/>
            <w:tcBorders>
              <w:top w:val="single" w:sz="6"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20</w:t>
            </w:r>
          </w:p>
        </w:tc>
        <w:tc>
          <w:tcPr>
            <w:tcW w:w="493" w:type="dxa"/>
            <w:tcBorders>
              <w:top w:val="single" w:sz="6"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224</w:t>
            </w:r>
          </w:p>
        </w:tc>
        <w:tc>
          <w:tcPr>
            <w:tcW w:w="493" w:type="dxa"/>
            <w:tcBorders>
              <w:top w:val="single" w:sz="6"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139</w:t>
            </w:r>
          </w:p>
        </w:tc>
        <w:tc>
          <w:tcPr>
            <w:tcW w:w="565" w:type="dxa"/>
            <w:tcBorders>
              <w:top w:val="single" w:sz="6"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229</w:t>
            </w:r>
          </w:p>
        </w:tc>
        <w:tc>
          <w:tcPr>
            <w:tcW w:w="646" w:type="dxa"/>
            <w:tcBorders>
              <w:top w:val="single" w:sz="6"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154</w:t>
            </w:r>
          </w:p>
        </w:tc>
        <w:tc>
          <w:tcPr>
            <w:tcW w:w="665" w:type="dxa"/>
            <w:tcBorders>
              <w:top w:val="single" w:sz="6" w:space="0" w:color="auto"/>
              <w:left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55</w:t>
            </w:r>
          </w:p>
        </w:tc>
        <w:tc>
          <w:tcPr>
            <w:tcW w:w="684" w:type="dxa"/>
            <w:tcBorders>
              <w:top w:val="single" w:sz="6" w:space="0" w:color="auto"/>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328</w:t>
            </w:r>
          </w:p>
        </w:tc>
        <w:tc>
          <w:tcPr>
            <w:tcW w:w="909" w:type="dxa"/>
            <w:tcBorders>
              <w:top w:val="single" w:sz="6" w:space="0" w:color="auto"/>
              <w:left w:val="single" w:sz="4" w:space="0" w:color="auto"/>
              <w:right w:val="single" w:sz="4" w:space="0" w:color="auto"/>
            </w:tcBorders>
            <w:vAlign w:val="center"/>
          </w:tcPr>
          <w:p w:rsidR="00000000" w:rsidRDefault="00D93457">
            <w:pPr>
              <w:ind w:right="-108"/>
              <w:rPr>
                <w:rFonts w:ascii="Arial" w:hAnsi="Arial"/>
                <w:sz w:val="18"/>
              </w:rPr>
            </w:pPr>
            <w:r>
              <w:rPr>
                <w:rFonts w:ascii="Arial" w:hAnsi="Arial"/>
                <w:sz w:val="18"/>
              </w:rPr>
              <w:t>4</w:t>
            </w:r>
          </w:p>
        </w:tc>
      </w:tr>
    </w:tbl>
    <w:p w:rsidR="00000000" w:rsidRDefault="00D93457">
      <w:pPr>
        <w:tabs>
          <w:tab w:val="left" w:pos="9900"/>
        </w:tabs>
        <w:ind w:right="-720"/>
        <w:rPr>
          <w:rFonts w:ascii="Arial" w:hAnsi="Arial"/>
          <w:i/>
          <w:iCs/>
          <w:sz w:val="18"/>
        </w:rPr>
      </w:pPr>
      <w:r>
        <w:rPr>
          <w:rFonts w:ascii="Arial" w:hAnsi="Arial"/>
          <w:i/>
          <w:iCs/>
          <w:sz w:val="18"/>
        </w:rPr>
        <w:t xml:space="preserve">     </w:t>
      </w:r>
    </w:p>
    <w:p w:rsidR="00000000" w:rsidRDefault="00D93457">
      <w:pPr>
        <w:tabs>
          <w:tab w:val="left" w:pos="9900"/>
        </w:tabs>
        <w:ind w:right="-720"/>
        <w:rPr>
          <w:rFonts w:ascii="Arial" w:hAnsi="Arial"/>
          <w:sz w:val="18"/>
        </w:rPr>
      </w:pPr>
      <w:r>
        <w:rPr>
          <w:rFonts w:ascii="Arial" w:hAnsi="Arial"/>
          <w:i/>
          <w:iCs/>
          <w:sz w:val="18"/>
        </w:rPr>
        <w:t xml:space="preserve">                                                                                                </w:t>
      </w:r>
      <w:r>
        <w:rPr>
          <w:rFonts w:ascii="Arial" w:hAnsi="Arial"/>
          <w:i/>
          <w:iCs/>
          <w:sz w:val="18"/>
        </w:rPr>
        <w:t xml:space="preserve">                             </w:t>
      </w:r>
    </w:p>
    <w:p w:rsidR="00000000" w:rsidRDefault="00D93457">
      <w:pPr>
        <w:pStyle w:val="BlockText"/>
        <w:numPr>
          <w:ilvl w:val="0"/>
          <w:numId w:val="15"/>
        </w:numPr>
        <w:rPr>
          <w:rFonts w:ascii="Arial" w:hAnsi="Arial" w:cs="Arial"/>
          <w:sz w:val="18"/>
        </w:rPr>
      </w:pPr>
      <w:r>
        <w:rPr>
          <w:rFonts w:ascii="Arial" w:hAnsi="Arial" w:cs="Arial"/>
          <w:sz w:val="18"/>
        </w:rPr>
        <w:t>Recaptured tagged fish from LGR in these samples did not go through analysis again therefore data variables were not recorded.</w:t>
      </w:r>
    </w:p>
    <w:p w:rsidR="00000000" w:rsidRDefault="00D93457">
      <w:pPr>
        <w:pStyle w:val="BlockText"/>
        <w:numPr>
          <w:ilvl w:val="0"/>
          <w:numId w:val="15"/>
        </w:numPr>
        <w:rPr>
          <w:rFonts w:ascii="Arial" w:hAnsi="Arial" w:cs="Arial"/>
          <w:sz w:val="18"/>
        </w:rPr>
      </w:pPr>
      <w:r>
        <w:rPr>
          <w:rFonts w:ascii="Arial" w:hAnsi="Arial" w:cs="Arial"/>
          <w:sz w:val="18"/>
        </w:rPr>
        <w:t>Data recorded for fish that were not evaluated with ultrasound (visual only fish) by FFU are not in</w:t>
      </w:r>
      <w:r>
        <w:rPr>
          <w:rFonts w:ascii="Arial" w:hAnsi="Arial" w:cs="Arial"/>
          <w:sz w:val="18"/>
        </w:rPr>
        <w:t>cluded in the data set.</w:t>
      </w:r>
    </w:p>
    <w:p w:rsidR="00000000" w:rsidRDefault="00D93457">
      <w:pPr>
        <w:pStyle w:val="BlockText"/>
        <w:ind w:left="0"/>
      </w:pPr>
    </w:p>
    <w:p w:rsidR="00000000" w:rsidRDefault="00D93457">
      <w:pPr>
        <w:pStyle w:val="BlockText"/>
        <w:ind w:left="0"/>
      </w:pPr>
    </w:p>
    <w:p w:rsidR="00000000" w:rsidRDefault="00D93457">
      <w:pPr>
        <w:pStyle w:val="BlockText"/>
        <w:ind w:left="0"/>
      </w:pPr>
    </w:p>
    <w:p w:rsidR="00000000" w:rsidRDefault="00D93457">
      <w:pPr>
        <w:pStyle w:val="BlockText"/>
        <w:ind w:left="0"/>
      </w:pPr>
    </w:p>
    <w:p w:rsidR="00000000" w:rsidRDefault="00D93457">
      <w:pPr>
        <w:pStyle w:val="BlockText"/>
        <w:ind w:left="0"/>
      </w:pPr>
    </w:p>
    <w:p w:rsidR="00000000" w:rsidRDefault="00D93457">
      <w:pPr>
        <w:pStyle w:val="BodyText"/>
        <w:tabs>
          <w:tab w:val="left" w:pos="1620"/>
          <w:tab w:val="left" w:pos="8298"/>
        </w:tabs>
        <w:ind w:left="-270"/>
        <w:rPr>
          <w:rFonts w:ascii="Arial" w:hAnsi="Arial"/>
          <w:sz w:val="18"/>
        </w:rPr>
      </w:pPr>
      <w:r>
        <w:rPr>
          <w:rFonts w:ascii="Arial" w:hAnsi="Arial"/>
          <w:sz w:val="18"/>
        </w:rPr>
        <w:lastRenderedPageBreak/>
        <w:t>Table A-2   Summary of the sample date, sample size (n), mean, standard deviation (SD), fork length (cm), sex, origin, ultrasound diagnostic, and recaptures of steelhead at John Day Dam in the spring of 2001.</w:t>
      </w:r>
    </w:p>
    <w:p w:rsidR="00000000" w:rsidRDefault="00D93457">
      <w:pPr>
        <w:pStyle w:val="BodyText"/>
        <w:tabs>
          <w:tab w:val="left" w:pos="1980"/>
          <w:tab w:val="left" w:pos="9900"/>
        </w:tabs>
        <w:jc w:val="center"/>
        <w:rPr>
          <w:rFonts w:ascii="Arial" w:hAnsi="Arial" w:cs="Arial"/>
        </w:rPr>
      </w:pP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792"/>
        <w:gridCol w:w="780"/>
        <w:gridCol w:w="714"/>
        <w:gridCol w:w="918"/>
        <w:gridCol w:w="442"/>
        <w:gridCol w:w="542"/>
        <w:gridCol w:w="540"/>
        <w:gridCol w:w="625"/>
        <w:gridCol w:w="637"/>
        <w:gridCol w:w="598"/>
        <w:gridCol w:w="837"/>
        <w:gridCol w:w="909"/>
      </w:tblGrid>
      <w:tr w:rsidR="00000000">
        <w:tblPrEx>
          <w:tblCellMar>
            <w:top w:w="0" w:type="dxa"/>
            <w:bottom w:w="0" w:type="dxa"/>
          </w:tblCellMar>
        </w:tblPrEx>
        <w:trPr>
          <w:cantSplit/>
          <w:trHeight w:val="503"/>
          <w:jc w:val="center"/>
        </w:trPr>
        <w:tc>
          <w:tcPr>
            <w:tcW w:w="1647"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531"/>
              <w:rPr>
                <w:rFonts w:ascii="Arial" w:hAnsi="Arial" w:cs="Arial"/>
                <w:b/>
                <w:bCs/>
                <w:sz w:val="18"/>
                <w:u w:val="single"/>
              </w:rPr>
            </w:pPr>
            <w:r>
              <w:rPr>
                <w:rFonts w:ascii="Arial" w:hAnsi="Arial" w:cs="Arial"/>
                <w:b/>
                <w:bCs/>
                <w:sz w:val="18"/>
                <w:u w:val="single"/>
              </w:rPr>
              <w:t>John Day Sample</w:t>
            </w:r>
          </w:p>
          <w:p w:rsidR="00000000" w:rsidRDefault="00D93457">
            <w:pPr>
              <w:pStyle w:val="BodyText"/>
              <w:tabs>
                <w:tab w:val="left" w:pos="352"/>
                <w:tab w:val="left" w:pos="972"/>
                <w:tab w:val="left" w:pos="9900"/>
              </w:tabs>
              <w:ind w:left="-8" w:right="-396" w:firstLine="8"/>
              <w:rPr>
                <w:rFonts w:ascii="Arial" w:hAnsi="Arial" w:cs="Arial"/>
                <w:b/>
                <w:bCs/>
                <w:sz w:val="18"/>
              </w:rPr>
            </w:pPr>
            <w:r>
              <w:rPr>
                <w:rFonts w:ascii="Arial" w:hAnsi="Arial" w:cs="Arial"/>
                <w:b/>
                <w:bCs/>
                <w:sz w:val="18"/>
              </w:rPr>
              <w:t>D</w:t>
            </w:r>
            <w:r>
              <w:rPr>
                <w:rFonts w:ascii="Arial" w:hAnsi="Arial" w:cs="Arial"/>
                <w:b/>
                <w:bCs/>
                <w:sz w:val="18"/>
              </w:rPr>
              <w:t xml:space="preserve">ate               </w:t>
            </w:r>
            <w:r>
              <w:rPr>
                <w:rFonts w:ascii="Arial" w:hAnsi="Arial" w:cs="Arial"/>
                <w:b/>
                <w:bCs/>
                <w:sz w:val="18"/>
                <w:u w:val="single"/>
              </w:rPr>
              <w:t>n</w:t>
            </w:r>
          </w:p>
        </w:tc>
        <w:tc>
          <w:tcPr>
            <w:tcW w:w="2412"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rPr>
                <w:rFonts w:ascii="Arial" w:hAnsi="Arial" w:cs="Arial"/>
                <w:b/>
                <w:bCs/>
                <w:sz w:val="18"/>
                <w:u w:val="single"/>
              </w:rPr>
            </w:pPr>
            <w:r>
              <w:rPr>
                <w:rFonts w:ascii="Arial" w:hAnsi="Arial" w:cs="Arial"/>
                <w:b/>
                <w:bCs/>
                <w:sz w:val="18"/>
              </w:rPr>
              <w:t xml:space="preserve">     </w:t>
            </w:r>
            <w:r>
              <w:rPr>
                <w:rFonts w:ascii="Arial" w:hAnsi="Arial" w:cs="Arial"/>
                <w:b/>
                <w:bCs/>
                <w:sz w:val="18"/>
                <w:u w:val="single"/>
              </w:rPr>
              <w:t xml:space="preserve">Fork Length  (cm)  </w:t>
            </w:r>
          </w:p>
          <w:p w:rsidR="00000000" w:rsidRDefault="00D93457">
            <w:pPr>
              <w:pStyle w:val="BodyText"/>
              <w:tabs>
                <w:tab w:val="left" w:pos="702"/>
                <w:tab w:val="left" w:pos="9900"/>
              </w:tabs>
              <w:rPr>
                <w:rFonts w:ascii="Arial" w:hAnsi="Arial" w:cs="Arial"/>
                <w:b/>
                <w:bCs/>
                <w:sz w:val="18"/>
              </w:rPr>
            </w:pPr>
            <w:r>
              <w:rPr>
                <w:rFonts w:ascii="Arial" w:hAnsi="Arial" w:cs="Arial"/>
                <w:b/>
                <w:bCs/>
                <w:sz w:val="18"/>
              </w:rPr>
              <w:t xml:space="preserve"> Mean        SD        Range</w:t>
            </w:r>
          </w:p>
        </w:tc>
        <w:tc>
          <w:tcPr>
            <w:tcW w:w="1524" w:type="dxa"/>
            <w:gridSpan w:val="3"/>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18"/>
              <w:jc w:val="center"/>
              <w:rPr>
                <w:rFonts w:ascii="Arial" w:hAnsi="Arial" w:cs="Arial"/>
                <w:b/>
                <w:bCs/>
                <w:sz w:val="18"/>
                <w:u w:val="single"/>
              </w:rPr>
            </w:pPr>
            <w:r>
              <w:rPr>
                <w:rFonts w:ascii="Arial" w:hAnsi="Arial" w:cs="Arial"/>
                <w:b/>
                <w:bCs/>
                <w:sz w:val="18"/>
                <w:u w:val="single"/>
              </w:rPr>
              <w:t>Sex</w:t>
            </w:r>
          </w:p>
          <w:p w:rsidR="00000000" w:rsidRDefault="00D93457">
            <w:pPr>
              <w:pStyle w:val="BodyText"/>
              <w:tabs>
                <w:tab w:val="left" w:pos="9900"/>
              </w:tabs>
              <w:ind w:right="-18"/>
              <w:jc w:val="center"/>
              <w:rPr>
                <w:rFonts w:ascii="Arial" w:hAnsi="Arial" w:cs="Arial"/>
                <w:b/>
                <w:bCs/>
                <w:sz w:val="18"/>
              </w:rPr>
            </w:pPr>
            <w:r>
              <w:rPr>
                <w:rFonts w:ascii="Arial" w:hAnsi="Arial" w:cs="Arial"/>
                <w:b/>
                <w:bCs/>
                <w:sz w:val="18"/>
              </w:rPr>
              <w:t>M       F      UN</w:t>
            </w:r>
          </w:p>
        </w:tc>
        <w:tc>
          <w:tcPr>
            <w:tcW w:w="1262"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63"/>
              <w:jc w:val="center"/>
              <w:rPr>
                <w:rFonts w:ascii="Arial" w:hAnsi="Arial" w:cs="Arial"/>
                <w:b/>
                <w:bCs/>
                <w:sz w:val="18"/>
                <w:u w:val="single"/>
              </w:rPr>
            </w:pPr>
            <w:r>
              <w:rPr>
                <w:rFonts w:ascii="Arial" w:hAnsi="Arial" w:cs="Arial"/>
                <w:b/>
                <w:bCs/>
                <w:sz w:val="18"/>
                <w:u w:val="single"/>
              </w:rPr>
              <w:t>Origin</w:t>
            </w:r>
          </w:p>
          <w:p w:rsidR="00000000" w:rsidRDefault="00D93457">
            <w:pPr>
              <w:pStyle w:val="BodyText"/>
              <w:tabs>
                <w:tab w:val="left" w:pos="9900"/>
              </w:tabs>
              <w:ind w:right="-63"/>
              <w:jc w:val="center"/>
              <w:rPr>
                <w:rFonts w:ascii="Arial" w:hAnsi="Arial" w:cs="Arial"/>
                <w:b/>
                <w:bCs/>
                <w:sz w:val="18"/>
              </w:rPr>
            </w:pPr>
            <w:r>
              <w:rPr>
                <w:rFonts w:ascii="Arial" w:hAnsi="Arial" w:cs="Arial"/>
                <w:b/>
                <w:bCs/>
                <w:sz w:val="18"/>
              </w:rPr>
              <w:t>Wild   Hatch</w:t>
            </w:r>
          </w:p>
        </w:tc>
        <w:tc>
          <w:tcPr>
            <w:tcW w:w="1435" w:type="dxa"/>
            <w:gridSpan w:val="2"/>
            <w:tcBorders>
              <w:top w:val="single" w:sz="4" w:space="0" w:color="auto"/>
              <w:left w:val="single" w:sz="4" w:space="0" w:color="auto"/>
              <w:bottom w:val="thinThickSmallGap" w:sz="12" w:space="0" w:color="auto"/>
              <w:right w:val="single" w:sz="4" w:space="0" w:color="auto"/>
            </w:tcBorders>
            <w:vAlign w:val="center"/>
          </w:tcPr>
          <w:p w:rsidR="00000000" w:rsidRDefault="00D93457">
            <w:pPr>
              <w:pStyle w:val="BodyText"/>
              <w:tabs>
                <w:tab w:val="left" w:pos="9900"/>
              </w:tabs>
              <w:ind w:right="0"/>
              <w:jc w:val="center"/>
              <w:rPr>
                <w:rFonts w:ascii="Arial" w:hAnsi="Arial" w:cs="Arial"/>
                <w:b/>
                <w:bCs/>
                <w:sz w:val="18"/>
                <w:u w:val="single"/>
              </w:rPr>
            </w:pPr>
            <w:r>
              <w:rPr>
                <w:rFonts w:ascii="Arial" w:hAnsi="Arial" w:cs="Arial"/>
                <w:b/>
                <w:bCs/>
                <w:sz w:val="18"/>
                <w:u w:val="single"/>
              </w:rPr>
              <w:t>Ultrasound</w:t>
            </w:r>
          </w:p>
          <w:p w:rsidR="00000000" w:rsidRDefault="00D93457">
            <w:pPr>
              <w:pStyle w:val="BodyText"/>
              <w:tabs>
                <w:tab w:val="left" w:pos="9900"/>
              </w:tabs>
              <w:ind w:right="0"/>
              <w:jc w:val="center"/>
              <w:rPr>
                <w:rFonts w:ascii="Arial" w:hAnsi="Arial" w:cs="Arial"/>
                <w:b/>
                <w:bCs/>
                <w:sz w:val="18"/>
              </w:rPr>
            </w:pPr>
            <w:r>
              <w:rPr>
                <w:rFonts w:ascii="Arial" w:hAnsi="Arial" w:cs="Arial"/>
                <w:b/>
                <w:bCs/>
                <w:sz w:val="18"/>
              </w:rPr>
              <w:t>Pre        Kelt</w:t>
            </w:r>
          </w:p>
        </w:tc>
        <w:tc>
          <w:tcPr>
            <w:tcW w:w="909" w:type="dxa"/>
            <w:tcBorders>
              <w:top w:val="single" w:sz="6" w:space="0" w:color="auto"/>
              <w:bottom w:val="single" w:sz="6" w:space="0" w:color="auto"/>
              <w:right w:val="single" w:sz="6" w:space="0" w:color="auto"/>
            </w:tcBorders>
          </w:tcPr>
          <w:p w:rsidR="00000000" w:rsidRDefault="00D93457">
            <w:pPr>
              <w:rPr>
                <w:rFonts w:ascii="Arial" w:hAnsi="Arial" w:cs="Arial"/>
                <w:b/>
                <w:bCs/>
                <w:sz w:val="18"/>
                <w:u w:val="single"/>
              </w:rPr>
            </w:pPr>
            <w:r>
              <w:rPr>
                <w:rFonts w:ascii="Arial" w:hAnsi="Arial" w:cs="Arial"/>
                <w:b/>
                <w:bCs/>
                <w:sz w:val="18"/>
                <w:u w:val="single"/>
              </w:rPr>
              <w:t>Recaps</w:t>
            </w:r>
          </w:p>
          <w:p w:rsidR="00000000" w:rsidRDefault="00D93457">
            <w:pPr>
              <w:rPr>
                <w:rFonts w:ascii="Arial" w:hAnsi="Arial" w:cs="Arial"/>
                <w:sz w:val="18"/>
              </w:rPr>
            </w:pPr>
            <w:r>
              <w:rPr>
                <w:rFonts w:ascii="Arial" w:hAnsi="Arial" w:cs="Arial"/>
                <w:b/>
                <w:bCs/>
                <w:sz w:val="18"/>
              </w:rPr>
              <w:t>McN</w:t>
            </w:r>
          </w:p>
        </w:tc>
      </w:tr>
      <w:tr w:rsidR="00000000">
        <w:tblPrEx>
          <w:tblCellMar>
            <w:top w:w="0" w:type="dxa"/>
            <w:bottom w:w="0" w:type="dxa"/>
          </w:tblCellMar>
        </w:tblPrEx>
        <w:trPr>
          <w:cantSplit/>
          <w:trHeight w:val="245"/>
          <w:jc w:val="center"/>
        </w:trPr>
        <w:tc>
          <w:tcPr>
            <w:tcW w:w="855"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171"/>
              <w:rPr>
                <w:rFonts w:ascii="Arial" w:hAnsi="Arial" w:cs="Arial"/>
                <w:sz w:val="18"/>
              </w:rPr>
            </w:pPr>
            <w:r>
              <w:rPr>
                <w:rFonts w:ascii="Arial" w:hAnsi="Arial" w:cs="Arial"/>
                <w:sz w:val="18"/>
              </w:rPr>
              <w:t>Mar 30</w:t>
            </w:r>
          </w:p>
        </w:tc>
        <w:tc>
          <w:tcPr>
            <w:tcW w:w="792"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780"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71.00</w:t>
            </w:r>
          </w:p>
        </w:tc>
        <w:tc>
          <w:tcPr>
            <w:tcW w:w="714"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0.0</w:t>
            </w:r>
          </w:p>
        </w:tc>
        <w:tc>
          <w:tcPr>
            <w:tcW w:w="918"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71 – 71</w:t>
            </w:r>
          </w:p>
        </w:tc>
        <w:tc>
          <w:tcPr>
            <w:tcW w:w="442"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40"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625"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637"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598" w:type="dxa"/>
            <w:tcBorders>
              <w:top w:val="thinThickSmallGap" w:sz="12" w:space="0" w:color="auto"/>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837" w:type="dxa"/>
            <w:tcBorders>
              <w:top w:val="thinThickSmallGap" w:sz="12" w:space="0" w:color="auto"/>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w:t>
            </w:r>
          </w:p>
        </w:tc>
        <w:tc>
          <w:tcPr>
            <w:tcW w:w="909" w:type="dxa"/>
            <w:tcBorders>
              <w:top w:val="thinThickSmallGap" w:sz="12" w:space="0" w:color="auto"/>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171"/>
              <w:rPr>
                <w:rFonts w:ascii="Arial" w:hAnsi="Arial" w:cs="Arial"/>
                <w:sz w:val="18"/>
              </w:rPr>
            </w:pPr>
            <w:r>
              <w:rPr>
                <w:rFonts w:ascii="Arial" w:hAnsi="Arial" w:cs="Arial"/>
                <w:sz w:val="18"/>
              </w:rPr>
              <w:t>Mar 31</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61.67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11.9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26 – 82</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10</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cs="Arial"/>
                <w:sz w:val="18"/>
              </w:rPr>
            </w:pPr>
            <w:r>
              <w:rPr>
                <w:rFonts w:ascii="Arial" w:hAnsi="Arial" w:cs="Arial"/>
                <w:sz w:val="18"/>
              </w:rPr>
              <w:t>April 1</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r>
              <w:rPr>
                <w:rFonts w:ascii="Arial" w:hAnsi="Arial" w:cs="Arial"/>
                <w:sz w:val="18"/>
                <w:szCs w:val="20"/>
              </w:rPr>
              <w:t>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62.44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47 – 84</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6</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2</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64.09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4.5</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55 – 69</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9</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April3</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65.22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47 – 76</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6</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4</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67.06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55 – 89</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12</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5</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65.00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48 – 80</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17</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9</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66.18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53 – 75</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15</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10</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65.75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50 – 74</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17</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11</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67.92</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55 – 86</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18</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19</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12</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29</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64.17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53 – 75</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29</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16</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62.94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5.7</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53 – 76</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11</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27</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17</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63.29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52 – 75</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r>
              <w:rPr>
                <w:rFonts w:ascii="Arial" w:hAnsi="Arial" w:cs="Arial"/>
                <w:sz w:val="18"/>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17</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24</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18</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66.09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55 – 82</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31</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19</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64.26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46 – 78</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18</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40</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 xml:space="preserve">April 23 </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61.08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51 – 72</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11</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23</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24</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65.98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5.7</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56 – 78</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34</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25</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62.44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45 – 81</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16</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41</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26</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63.07</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49 – 82</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59</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21</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67</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April 30</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61.59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48 – 85</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16</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33</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39</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May 1</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61.10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48 – 83</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17</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18</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48</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May 2</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62.44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52 – 81</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37</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May 7</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60.29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52 – 77</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r>
              <w:rPr>
                <w:rFonts w:ascii="Arial" w:hAnsi="Arial" w:cs="Arial"/>
                <w:sz w:val="18"/>
                <w:szCs w:val="20"/>
              </w:rPr>
              <w:t>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15</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49</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w:t>
            </w:r>
          </w:p>
        </w:tc>
      </w:tr>
      <w:tr w:rsidR="00000000">
        <w:tblPrEx>
          <w:tblCellMar>
            <w:top w:w="0" w:type="dxa"/>
            <w:bottom w:w="0" w:type="dxa"/>
          </w:tblCellMar>
        </w:tblPrEx>
        <w:trPr>
          <w:cantSplit/>
          <w:trHeight w:val="245"/>
          <w:jc w:val="center"/>
        </w:trPr>
        <w:tc>
          <w:tcPr>
            <w:tcW w:w="855" w:type="dxa"/>
            <w:tcBorders>
              <w:top w:val="single" w:sz="4" w:space="0" w:color="auto"/>
              <w:left w:val="single" w:sz="4" w:space="0" w:color="auto"/>
              <w:bottom w:val="single" w:sz="2" w:space="0" w:color="auto"/>
              <w:right w:val="single" w:sz="4" w:space="0" w:color="auto"/>
            </w:tcBorders>
            <w:vAlign w:val="center"/>
          </w:tcPr>
          <w:p w:rsidR="00000000" w:rsidRDefault="00D93457">
            <w:pPr>
              <w:ind w:right="-720"/>
              <w:rPr>
                <w:rFonts w:ascii="Arial" w:hAnsi="Arial" w:cs="Arial"/>
                <w:sz w:val="18"/>
              </w:rPr>
            </w:pPr>
            <w:r>
              <w:rPr>
                <w:rFonts w:ascii="Arial" w:hAnsi="Arial" w:cs="Arial"/>
                <w:sz w:val="18"/>
              </w:rPr>
              <w:t>May 8</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41</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60.24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42 – 73</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41</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2"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9</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59.96</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47 – 73</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18</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20</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24</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10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60.94</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47 – 72</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28</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14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59.41</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5.1</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54 – 70</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23</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15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60.35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6.5</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50 – 75</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23</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 xml:space="preserve">May </w:t>
            </w:r>
            <w:r>
              <w:rPr>
                <w:rFonts w:ascii="Arial" w:hAnsi="Arial" w:cs="Arial"/>
                <w:sz w:val="18"/>
              </w:rPr>
              <w:t>16</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60.09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48 – 74</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23</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32</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17</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59.68</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50 – 76</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29</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54</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61</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21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58.71</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8.0</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43 – 85</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15</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63</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22</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58.35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46 – 74</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24</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44</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23</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61.05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6.6</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48 – 75</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16</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61</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24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w:t>
            </w:r>
            <w:r>
              <w:rPr>
                <w:rFonts w:ascii="Arial" w:hAnsi="Arial" w:cs="Arial"/>
                <w:sz w:val="18"/>
                <w:szCs w:val="20"/>
              </w:rPr>
              <w:t>09</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8.5</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47 – 81</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15</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40</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29</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62.75</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5.7</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55 – 69</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8</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30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61.80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4.9</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55 – 70</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10</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May 31</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16</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60.13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6.3</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50 – 73</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9</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15</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June 4</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56.33</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3.2</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54 – 60</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3</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June 5</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54.00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2.8</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52 – 56</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2</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2</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June 6</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66.20</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4.5</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63 – 74</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0</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5</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June 20</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14</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60.21</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7.4</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52 – 74</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11</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0</w:t>
            </w:r>
          </w:p>
        </w:tc>
      </w:tr>
      <w:tr w:rsidR="00000000">
        <w:tblPrEx>
          <w:tblCellMar>
            <w:top w:w="0" w:type="dxa"/>
            <w:bottom w:w="0" w:type="dxa"/>
          </w:tblCellMar>
        </w:tblPrEx>
        <w:trPr>
          <w:cantSplit/>
          <w:trHeight w:val="245"/>
          <w:jc w:val="center"/>
        </w:trPr>
        <w:tc>
          <w:tcPr>
            <w:tcW w:w="855"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cs="Arial"/>
                <w:sz w:val="18"/>
              </w:rPr>
            </w:pPr>
            <w:r>
              <w:rPr>
                <w:rFonts w:ascii="Arial" w:hAnsi="Arial" w:cs="Arial"/>
                <w:sz w:val="18"/>
              </w:rPr>
              <w:t>Total</w:t>
            </w:r>
          </w:p>
        </w:tc>
        <w:tc>
          <w:tcPr>
            <w:tcW w:w="792" w:type="dxa"/>
            <w:tcBorders>
              <w:top w:val="single" w:sz="4" w:space="0" w:color="auto"/>
              <w:left w:val="single" w:sz="2"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1207</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w:t>
            </w:r>
          </w:p>
        </w:tc>
        <w:tc>
          <w:tcPr>
            <w:tcW w:w="714"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w:t>
            </w:r>
          </w:p>
        </w:tc>
        <w:tc>
          <w:tcPr>
            <w:tcW w:w="918"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w:t>
            </w:r>
          </w:p>
        </w:tc>
        <w:tc>
          <w:tcPr>
            <w:tcW w:w="4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72</w:t>
            </w:r>
          </w:p>
        </w:tc>
        <w:tc>
          <w:tcPr>
            <w:tcW w:w="542"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697</w:t>
            </w:r>
          </w:p>
        </w:tc>
        <w:tc>
          <w:tcPr>
            <w:tcW w:w="540"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438</w:t>
            </w:r>
          </w:p>
        </w:tc>
        <w:tc>
          <w:tcPr>
            <w:tcW w:w="625"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891</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316</w:t>
            </w:r>
          </w:p>
        </w:tc>
        <w:tc>
          <w:tcPr>
            <w:tcW w:w="598" w:type="dxa"/>
            <w:tcBorders>
              <w:left w:val="single" w:sz="4" w:space="0" w:color="auto"/>
              <w:right w:val="single" w:sz="4" w:space="0" w:color="auto"/>
            </w:tcBorders>
            <w:vAlign w:val="center"/>
          </w:tcPr>
          <w:p w:rsidR="00000000" w:rsidRDefault="00D93457">
            <w:pPr>
              <w:jc w:val="center"/>
              <w:rPr>
                <w:rFonts w:ascii="Arial" w:hAnsi="Arial" w:cs="Arial"/>
                <w:sz w:val="18"/>
                <w:szCs w:val="20"/>
              </w:rPr>
            </w:pPr>
            <w:r>
              <w:rPr>
                <w:rFonts w:ascii="Arial" w:hAnsi="Arial" w:cs="Arial"/>
                <w:sz w:val="18"/>
                <w:szCs w:val="20"/>
              </w:rPr>
              <w:t>102</w:t>
            </w:r>
          </w:p>
        </w:tc>
        <w:tc>
          <w:tcPr>
            <w:tcW w:w="837"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1096</w:t>
            </w:r>
          </w:p>
        </w:tc>
        <w:tc>
          <w:tcPr>
            <w:tcW w:w="909" w:type="dxa"/>
            <w:tcBorders>
              <w:left w:val="single" w:sz="4" w:space="0" w:color="auto"/>
              <w:right w:val="single" w:sz="4" w:space="0" w:color="auto"/>
            </w:tcBorders>
            <w:vAlign w:val="center"/>
          </w:tcPr>
          <w:p w:rsidR="00000000" w:rsidRDefault="00D93457">
            <w:pPr>
              <w:ind w:right="72"/>
              <w:jc w:val="center"/>
              <w:rPr>
                <w:rFonts w:ascii="Arial" w:hAnsi="Arial" w:cs="Arial"/>
                <w:sz w:val="18"/>
                <w:szCs w:val="20"/>
              </w:rPr>
            </w:pPr>
            <w:r>
              <w:rPr>
                <w:rFonts w:ascii="Arial" w:hAnsi="Arial" w:cs="Arial"/>
                <w:sz w:val="18"/>
                <w:szCs w:val="20"/>
              </w:rPr>
              <w:t>9</w:t>
            </w:r>
          </w:p>
        </w:tc>
      </w:tr>
    </w:tbl>
    <w:p w:rsidR="00000000" w:rsidRDefault="00D93457">
      <w:pPr>
        <w:tabs>
          <w:tab w:val="left" w:pos="9900"/>
        </w:tabs>
        <w:ind w:right="-720"/>
        <w:rPr>
          <w:rFonts w:ascii="Arial" w:hAnsi="Arial"/>
          <w:sz w:val="18"/>
        </w:rPr>
      </w:pPr>
      <w:r>
        <w:rPr>
          <w:rFonts w:ascii="Arial" w:hAnsi="Arial"/>
          <w:i/>
          <w:iCs/>
          <w:sz w:val="18"/>
        </w:rPr>
        <w:t xml:space="preserve">                                                                                                          </w:t>
      </w:r>
      <w:r>
        <w:rPr>
          <w:rFonts w:ascii="Arial" w:hAnsi="Arial"/>
          <w:i/>
          <w:iCs/>
          <w:sz w:val="18"/>
        </w:rPr>
        <w:t xml:space="preserve">                </w:t>
      </w:r>
    </w:p>
    <w:p w:rsidR="00000000" w:rsidRDefault="00D93457">
      <w:pPr>
        <w:pStyle w:val="BlockText"/>
        <w:numPr>
          <w:ilvl w:val="0"/>
          <w:numId w:val="15"/>
        </w:numPr>
        <w:ind w:right="360"/>
        <w:rPr>
          <w:rFonts w:ascii="Arial" w:hAnsi="Arial" w:cs="Arial"/>
          <w:sz w:val="16"/>
        </w:rPr>
      </w:pPr>
      <w:r>
        <w:rPr>
          <w:rFonts w:ascii="Arial" w:hAnsi="Arial" w:cs="Arial"/>
          <w:sz w:val="16"/>
        </w:rPr>
        <w:t>Recaptured radio- tagged fish from McN in these samples did not go through analysis again, therefore, no data variables were recorded.  There were no recaptures from LGR at JDD.  Data recorded for fish that were not were not evaluated with</w:t>
      </w:r>
      <w:r>
        <w:rPr>
          <w:rFonts w:ascii="Arial" w:hAnsi="Arial" w:cs="Arial"/>
          <w:sz w:val="16"/>
        </w:rPr>
        <w:t xml:space="preserve"> ultrasound (visual only fish) are not included in the data set.  </w:t>
      </w:r>
    </w:p>
    <w:p w:rsidR="00000000" w:rsidRDefault="00D93457">
      <w:pPr>
        <w:rPr>
          <w:sz w:val="18"/>
        </w:rPr>
      </w:pPr>
    </w:p>
    <w:p w:rsidR="00000000" w:rsidRDefault="00D93457">
      <w:pPr>
        <w:rPr>
          <w:sz w:val="18"/>
        </w:rPr>
      </w:pPr>
    </w:p>
    <w:p w:rsidR="00000000" w:rsidRDefault="003623AF">
      <w:r>
        <w:rPr>
          <w:noProof/>
        </w:rPr>
        <w:drawing>
          <wp:inline distT="0" distB="0" distL="0" distR="0">
            <wp:extent cx="5486400" cy="2948305"/>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00000" w:rsidRDefault="00D93457">
      <w:pPr>
        <w:rPr>
          <w:rFonts w:ascii="Arial" w:hAnsi="Arial" w:cs="Arial"/>
          <w:sz w:val="20"/>
        </w:rPr>
      </w:pPr>
    </w:p>
    <w:p w:rsidR="00000000" w:rsidRDefault="00D93457">
      <w:pPr>
        <w:rPr>
          <w:rFonts w:ascii="Arial" w:hAnsi="Arial" w:cs="Arial"/>
          <w:sz w:val="18"/>
        </w:rPr>
      </w:pPr>
      <w:r>
        <w:rPr>
          <w:rFonts w:ascii="Arial" w:hAnsi="Arial" w:cs="Arial"/>
          <w:sz w:val="18"/>
        </w:rPr>
        <w:t xml:space="preserve">Figure A-1.  Weekly proportion of the total steelhead population sampled at the smolt monitoring facility at John Day Dam, Columbia River 2001.  </w:t>
      </w:r>
      <w:proofErr w:type="gramStart"/>
      <w:r>
        <w:rPr>
          <w:rFonts w:ascii="Arial" w:hAnsi="Arial" w:cs="Arial"/>
          <w:sz w:val="18"/>
        </w:rPr>
        <w:t>Assuming equ</w:t>
      </w:r>
      <w:r>
        <w:rPr>
          <w:rFonts w:ascii="Arial" w:hAnsi="Arial" w:cs="Arial"/>
          <w:sz w:val="18"/>
        </w:rPr>
        <w:t>al distribution.</w:t>
      </w:r>
      <w:proofErr w:type="gramEnd"/>
    </w:p>
    <w:p w:rsidR="00000000" w:rsidRDefault="00D93457"/>
    <w:p w:rsidR="00000000" w:rsidRDefault="00D93457"/>
    <w:p w:rsidR="00000000" w:rsidRDefault="00D93457"/>
    <w:p w:rsidR="00000000" w:rsidRDefault="003623AF">
      <w:r>
        <w:rPr>
          <w:noProof/>
        </w:rPr>
        <w:drawing>
          <wp:inline distT="0" distB="0" distL="0" distR="0">
            <wp:extent cx="5605780" cy="3001645"/>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00000" w:rsidRDefault="00D93457">
      <w:pPr>
        <w:rPr>
          <w:sz w:val="18"/>
        </w:rPr>
      </w:pPr>
      <w:r>
        <w:rPr>
          <w:rFonts w:ascii="Arial" w:hAnsi="Arial" w:cs="Arial"/>
          <w:sz w:val="18"/>
        </w:rPr>
        <w:t xml:space="preserve">Figure A-2.  Weekly proportion of the total steelhead population sampled at the juvenile fish facility separator of McNary Dam, Columbia River 2001.  </w:t>
      </w:r>
      <w:proofErr w:type="gramStart"/>
      <w:r>
        <w:rPr>
          <w:rFonts w:ascii="Arial" w:hAnsi="Arial" w:cs="Arial"/>
          <w:sz w:val="18"/>
        </w:rPr>
        <w:t>Assuming equal distribution.</w:t>
      </w:r>
      <w:proofErr w:type="gramEnd"/>
    </w:p>
    <w:p w:rsidR="00000000" w:rsidRDefault="00D93457">
      <w:pPr>
        <w:pStyle w:val="Title"/>
        <w:rPr>
          <w:sz w:val="28"/>
          <w:u w:val="single"/>
        </w:rPr>
      </w:pPr>
    </w:p>
    <w:p w:rsidR="00000000" w:rsidRDefault="00D93457">
      <w:pPr>
        <w:pStyle w:val="Title"/>
        <w:rPr>
          <w:sz w:val="28"/>
          <w:u w:val="single"/>
        </w:rPr>
      </w:pPr>
    </w:p>
    <w:p w:rsidR="00000000" w:rsidRDefault="00D93457">
      <w:pPr>
        <w:pStyle w:val="Title"/>
        <w:rPr>
          <w:sz w:val="28"/>
          <w:u w:val="single"/>
        </w:rPr>
      </w:pPr>
    </w:p>
    <w:p w:rsidR="00000000" w:rsidRDefault="00D93457">
      <w:pPr>
        <w:pStyle w:val="Title"/>
        <w:rPr>
          <w:sz w:val="28"/>
          <w:u w:val="single"/>
        </w:rPr>
      </w:pPr>
      <w:r>
        <w:rPr>
          <w:sz w:val="28"/>
          <w:u w:val="single"/>
        </w:rPr>
        <w:t>Appendix B</w:t>
      </w:r>
    </w:p>
    <w:p w:rsidR="00000000" w:rsidRDefault="00D93457">
      <w:pPr>
        <w:pStyle w:val="Title"/>
        <w:jc w:val="both"/>
        <w:rPr>
          <w:sz w:val="24"/>
        </w:rPr>
      </w:pPr>
    </w:p>
    <w:p w:rsidR="00000000" w:rsidRDefault="00D93457">
      <w:pPr>
        <w:pStyle w:val="BodyText"/>
        <w:tabs>
          <w:tab w:val="left" w:pos="1620"/>
          <w:tab w:val="left" w:pos="8298"/>
        </w:tabs>
        <w:rPr>
          <w:rFonts w:ascii="Arial" w:hAnsi="Arial"/>
          <w:sz w:val="18"/>
        </w:rPr>
      </w:pPr>
      <w:proofErr w:type="gramStart"/>
      <w:r>
        <w:rPr>
          <w:rFonts w:ascii="Arial" w:hAnsi="Arial"/>
          <w:sz w:val="18"/>
        </w:rPr>
        <w:t>Table B-1.</w:t>
      </w:r>
      <w:proofErr w:type="gramEnd"/>
      <w:r>
        <w:rPr>
          <w:rFonts w:ascii="Arial" w:hAnsi="Arial"/>
          <w:sz w:val="18"/>
        </w:rPr>
        <w:t xml:space="preserve">  S</w:t>
      </w:r>
      <w:r>
        <w:rPr>
          <w:rFonts w:ascii="Arial" w:hAnsi="Arial"/>
          <w:sz w:val="18"/>
        </w:rPr>
        <w:t xml:space="preserve">ummary of the collection location, date, sample size (n), sample mean, standard deviation </w:t>
      </w:r>
    </w:p>
    <w:p w:rsidR="00000000" w:rsidRDefault="00D93457">
      <w:pPr>
        <w:pStyle w:val="BodyText"/>
        <w:tabs>
          <w:tab w:val="left" w:pos="1620"/>
          <w:tab w:val="left" w:pos="8298"/>
        </w:tabs>
        <w:rPr>
          <w:rFonts w:ascii="Arial" w:hAnsi="Arial"/>
          <w:sz w:val="18"/>
        </w:rPr>
      </w:pPr>
      <w:proofErr w:type="gramStart"/>
      <w:r>
        <w:rPr>
          <w:rFonts w:ascii="Arial" w:hAnsi="Arial"/>
          <w:sz w:val="18"/>
        </w:rPr>
        <w:t>(SD), fork length (cm), sex, and origin of radio-tagged steelhead kelts in 2001.</w:t>
      </w:r>
      <w:proofErr w:type="gramEnd"/>
      <w:r>
        <w:rPr>
          <w:rFonts w:ascii="Arial" w:hAnsi="Arial"/>
          <w:sz w:val="18"/>
        </w:rPr>
        <w:t xml:space="preserve">  </w:t>
      </w:r>
    </w:p>
    <w:p w:rsidR="00000000" w:rsidRDefault="00D93457">
      <w:pPr>
        <w:pStyle w:val="BodyText"/>
        <w:tabs>
          <w:tab w:val="left" w:pos="1980"/>
          <w:tab w:val="left" w:pos="9900"/>
        </w:tabs>
        <w:jc w:val="center"/>
        <w:rPr>
          <w:rFonts w:ascii="Arial" w:hAnsi="Arial"/>
        </w:rPr>
      </w:pPr>
    </w:p>
    <w:tbl>
      <w:tblPr>
        <w:tblW w:w="7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8"/>
        <w:gridCol w:w="637"/>
        <w:gridCol w:w="779"/>
        <w:gridCol w:w="698"/>
        <w:gridCol w:w="939"/>
        <w:gridCol w:w="448"/>
        <w:gridCol w:w="493"/>
        <w:gridCol w:w="493"/>
        <w:gridCol w:w="564"/>
        <w:gridCol w:w="40"/>
        <w:gridCol w:w="605"/>
      </w:tblGrid>
      <w:tr w:rsidR="00000000">
        <w:tblPrEx>
          <w:tblCellMar>
            <w:top w:w="0" w:type="dxa"/>
            <w:bottom w:w="0" w:type="dxa"/>
          </w:tblCellMar>
        </w:tblPrEx>
        <w:trPr>
          <w:cantSplit/>
          <w:trHeight w:val="255"/>
          <w:jc w:val="center"/>
        </w:trPr>
        <w:tc>
          <w:tcPr>
            <w:tcW w:w="1438" w:type="dxa"/>
            <w:vMerge w:val="restart"/>
            <w:tcBorders>
              <w:top w:val="single" w:sz="4" w:space="0" w:color="auto"/>
              <w:left w:val="single" w:sz="4" w:space="0" w:color="auto"/>
              <w:right w:val="single" w:sz="4" w:space="0" w:color="auto"/>
            </w:tcBorders>
            <w:vAlign w:val="center"/>
          </w:tcPr>
          <w:p w:rsidR="00000000" w:rsidRDefault="00D93457">
            <w:pPr>
              <w:pStyle w:val="BodyText"/>
              <w:tabs>
                <w:tab w:val="left" w:pos="9900"/>
              </w:tabs>
              <w:rPr>
                <w:rFonts w:ascii="Arial" w:hAnsi="Arial"/>
                <w:b/>
                <w:bCs/>
                <w:sz w:val="18"/>
              </w:rPr>
            </w:pPr>
            <w:r>
              <w:rPr>
                <w:rFonts w:ascii="Arial" w:hAnsi="Arial"/>
                <w:b/>
                <w:bCs/>
                <w:sz w:val="18"/>
              </w:rPr>
              <w:t>Collection</w:t>
            </w:r>
          </w:p>
          <w:p w:rsidR="00000000" w:rsidRDefault="00D93457">
            <w:pPr>
              <w:pStyle w:val="BodyText"/>
              <w:tabs>
                <w:tab w:val="left" w:pos="9900"/>
              </w:tabs>
              <w:ind w:right="-531"/>
              <w:rPr>
                <w:rFonts w:ascii="Arial" w:hAnsi="Arial"/>
                <w:b/>
                <w:bCs/>
                <w:sz w:val="18"/>
              </w:rPr>
            </w:pPr>
            <w:r>
              <w:rPr>
                <w:rFonts w:ascii="Arial" w:hAnsi="Arial"/>
                <w:b/>
                <w:bCs/>
                <w:sz w:val="18"/>
              </w:rPr>
              <w:t>Site/Tag Date</w:t>
            </w:r>
          </w:p>
        </w:tc>
        <w:tc>
          <w:tcPr>
            <w:tcW w:w="637" w:type="dxa"/>
            <w:vMerge w:val="restart"/>
            <w:tcBorders>
              <w:top w:val="single" w:sz="4" w:space="0" w:color="auto"/>
              <w:left w:val="single" w:sz="4" w:space="0" w:color="auto"/>
              <w:right w:val="single" w:sz="4" w:space="0" w:color="auto"/>
            </w:tcBorders>
            <w:vAlign w:val="center"/>
          </w:tcPr>
          <w:p w:rsidR="00000000" w:rsidRDefault="00D93457">
            <w:pPr>
              <w:pStyle w:val="BodyText"/>
              <w:tabs>
                <w:tab w:val="left" w:pos="9900"/>
              </w:tabs>
              <w:rPr>
                <w:rFonts w:ascii="Arial" w:hAnsi="Arial"/>
                <w:b/>
                <w:bCs/>
                <w:sz w:val="18"/>
              </w:rPr>
            </w:pPr>
          </w:p>
          <w:p w:rsidR="00000000" w:rsidRDefault="00D93457">
            <w:pPr>
              <w:pStyle w:val="BodyText"/>
              <w:tabs>
                <w:tab w:val="left" w:pos="9900"/>
              </w:tabs>
              <w:ind w:right="-531"/>
              <w:rPr>
                <w:rFonts w:ascii="Arial" w:hAnsi="Arial"/>
                <w:b/>
                <w:bCs/>
                <w:sz w:val="18"/>
                <w:u w:val="single"/>
              </w:rPr>
            </w:pPr>
            <w:r>
              <w:rPr>
                <w:rFonts w:ascii="Arial" w:hAnsi="Arial"/>
                <w:b/>
                <w:bCs/>
                <w:sz w:val="18"/>
                <w:u w:val="single"/>
              </w:rPr>
              <w:t>n</w:t>
            </w:r>
          </w:p>
        </w:tc>
        <w:tc>
          <w:tcPr>
            <w:tcW w:w="2416" w:type="dxa"/>
            <w:gridSpan w:val="3"/>
            <w:vMerge w:val="restart"/>
            <w:tcBorders>
              <w:top w:val="single" w:sz="4" w:space="0" w:color="auto"/>
              <w:left w:val="single" w:sz="4" w:space="0" w:color="auto"/>
              <w:right w:val="single" w:sz="4" w:space="0" w:color="auto"/>
            </w:tcBorders>
            <w:vAlign w:val="center"/>
          </w:tcPr>
          <w:p w:rsidR="00000000" w:rsidRDefault="00D93457">
            <w:pPr>
              <w:pStyle w:val="BodyText"/>
              <w:tabs>
                <w:tab w:val="left" w:pos="9900"/>
              </w:tabs>
              <w:rPr>
                <w:rFonts w:ascii="Arial" w:hAnsi="Arial"/>
                <w:b/>
                <w:bCs/>
                <w:sz w:val="18"/>
                <w:u w:val="single"/>
              </w:rPr>
            </w:pPr>
            <w:r>
              <w:rPr>
                <w:rFonts w:ascii="Arial" w:hAnsi="Arial"/>
                <w:b/>
                <w:bCs/>
                <w:sz w:val="18"/>
              </w:rPr>
              <w:t xml:space="preserve">     </w:t>
            </w:r>
            <w:r>
              <w:rPr>
                <w:rFonts w:ascii="Arial" w:hAnsi="Arial"/>
                <w:b/>
                <w:bCs/>
                <w:sz w:val="18"/>
                <w:u w:val="single"/>
              </w:rPr>
              <w:t xml:space="preserve">Fork Length  (cm)  </w:t>
            </w:r>
          </w:p>
          <w:p w:rsidR="00000000" w:rsidRDefault="00D93457">
            <w:pPr>
              <w:pStyle w:val="BodyText"/>
              <w:tabs>
                <w:tab w:val="left" w:pos="702"/>
                <w:tab w:val="left" w:pos="9900"/>
              </w:tabs>
              <w:rPr>
                <w:rFonts w:ascii="Arial" w:hAnsi="Arial"/>
                <w:b/>
                <w:bCs/>
                <w:sz w:val="18"/>
              </w:rPr>
            </w:pPr>
            <w:r>
              <w:rPr>
                <w:rFonts w:ascii="Arial" w:hAnsi="Arial"/>
                <w:b/>
                <w:bCs/>
                <w:sz w:val="18"/>
              </w:rPr>
              <w:t xml:space="preserve"> Mean        SD        Range</w:t>
            </w:r>
          </w:p>
        </w:tc>
        <w:tc>
          <w:tcPr>
            <w:tcW w:w="1434" w:type="dxa"/>
            <w:gridSpan w:val="3"/>
            <w:vMerge w:val="restart"/>
            <w:tcBorders>
              <w:top w:val="single" w:sz="4" w:space="0" w:color="auto"/>
              <w:left w:val="single" w:sz="4" w:space="0" w:color="auto"/>
              <w:right w:val="single" w:sz="4" w:space="0" w:color="auto"/>
            </w:tcBorders>
            <w:vAlign w:val="center"/>
          </w:tcPr>
          <w:p w:rsidR="00000000" w:rsidRDefault="00D93457">
            <w:pPr>
              <w:pStyle w:val="BodyText"/>
              <w:tabs>
                <w:tab w:val="left" w:pos="9900"/>
              </w:tabs>
              <w:ind w:right="-18"/>
              <w:jc w:val="center"/>
              <w:rPr>
                <w:rFonts w:ascii="Arial" w:hAnsi="Arial"/>
                <w:b/>
                <w:bCs/>
                <w:sz w:val="18"/>
                <w:u w:val="single"/>
              </w:rPr>
            </w:pPr>
            <w:r>
              <w:rPr>
                <w:rFonts w:ascii="Arial" w:hAnsi="Arial"/>
                <w:b/>
                <w:bCs/>
                <w:sz w:val="18"/>
                <w:u w:val="single"/>
              </w:rPr>
              <w:t>Sex</w:t>
            </w:r>
          </w:p>
          <w:p w:rsidR="00000000" w:rsidRDefault="00D93457">
            <w:pPr>
              <w:pStyle w:val="BodyText"/>
              <w:tabs>
                <w:tab w:val="left" w:pos="9900"/>
              </w:tabs>
              <w:rPr>
                <w:rFonts w:ascii="Arial" w:hAnsi="Arial"/>
                <w:b/>
                <w:bCs/>
                <w:sz w:val="18"/>
              </w:rPr>
            </w:pPr>
            <w:r>
              <w:rPr>
                <w:rFonts w:ascii="Arial" w:hAnsi="Arial"/>
                <w:b/>
                <w:bCs/>
                <w:sz w:val="18"/>
              </w:rPr>
              <w:t>M       F      UN</w:t>
            </w:r>
          </w:p>
        </w:tc>
        <w:tc>
          <w:tcPr>
            <w:tcW w:w="1209" w:type="dxa"/>
            <w:gridSpan w:val="3"/>
            <w:tcBorders>
              <w:top w:val="single" w:sz="4" w:space="0" w:color="auto"/>
              <w:left w:val="single" w:sz="4" w:space="0" w:color="auto"/>
              <w:bottom w:val="nil"/>
              <w:right w:val="single" w:sz="4" w:space="0" w:color="auto"/>
            </w:tcBorders>
            <w:vAlign w:val="bottom"/>
          </w:tcPr>
          <w:p w:rsidR="00000000" w:rsidRDefault="00D93457">
            <w:pPr>
              <w:pStyle w:val="BodyText"/>
              <w:tabs>
                <w:tab w:val="left" w:pos="9900"/>
              </w:tabs>
              <w:rPr>
                <w:rFonts w:ascii="Arial" w:hAnsi="Arial"/>
                <w:b/>
                <w:bCs/>
                <w:sz w:val="18"/>
                <w:u w:val="single"/>
              </w:rPr>
            </w:pPr>
            <w:r>
              <w:rPr>
                <w:rFonts w:ascii="Arial" w:hAnsi="Arial"/>
                <w:b/>
                <w:bCs/>
                <w:sz w:val="18"/>
                <w:u w:val="single"/>
              </w:rPr>
              <w:t>Origin</w:t>
            </w:r>
          </w:p>
        </w:tc>
      </w:tr>
      <w:tr w:rsidR="00000000">
        <w:tblPrEx>
          <w:tblCellMar>
            <w:top w:w="0" w:type="dxa"/>
            <w:bottom w:w="0" w:type="dxa"/>
          </w:tblCellMar>
        </w:tblPrEx>
        <w:trPr>
          <w:cantSplit/>
          <w:trHeight w:val="255"/>
          <w:jc w:val="center"/>
        </w:trPr>
        <w:tc>
          <w:tcPr>
            <w:tcW w:w="1438" w:type="dxa"/>
            <w:vMerge/>
            <w:tcBorders>
              <w:left w:val="single" w:sz="4" w:space="0" w:color="auto"/>
              <w:bottom w:val="thinThickSmallGap" w:sz="12" w:space="0" w:color="auto"/>
              <w:right w:val="single" w:sz="4" w:space="0" w:color="auto"/>
            </w:tcBorders>
            <w:vAlign w:val="center"/>
          </w:tcPr>
          <w:p w:rsidR="00000000" w:rsidRDefault="00D93457">
            <w:pPr>
              <w:pStyle w:val="BodyText"/>
              <w:tabs>
                <w:tab w:val="left" w:pos="9900"/>
              </w:tabs>
              <w:rPr>
                <w:rFonts w:ascii="Arial" w:hAnsi="Arial"/>
                <w:b/>
                <w:bCs/>
                <w:sz w:val="18"/>
              </w:rPr>
            </w:pPr>
          </w:p>
        </w:tc>
        <w:tc>
          <w:tcPr>
            <w:tcW w:w="637" w:type="dxa"/>
            <w:vMerge/>
            <w:tcBorders>
              <w:left w:val="single" w:sz="4" w:space="0" w:color="auto"/>
              <w:bottom w:val="thinThickSmallGap" w:sz="12" w:space="0" w:color="auto"/>
              <w:right w:val="single" w:sz="4" w:space="0" w:color="auto"/>
            </w:tcBorders>
            <w:vAlign w:val="center"/>
          </w:tcPr>
          <w:p w:rsidR="00000000" w:rsidRDefault="00D93457">
            <w:pPr>
              <w:pStyle w:val="BodyText"/>
              <w:tabs>
                <w:tab w:val="left" w:pos="9900"/>
              </w:tabs>
              <w:rPr>
                <w:rFonts w:ascii="Arial" w:hAnsi="Arial"/>
                <w:b/>
                <w:bCs/>
                <w:sz w:val="18"/>
              </w:rPr>
            </w:pPr>
          </w:p>
        </w:tc>
        <w:tc>
          <w:tcPr>
            <w:tcW w:w="2416" w:type="dxa"/>
            <w:gridSpan w:val="3"/>
            <w:vMerge/>
            <w:tcBorders>
              <w:left w:val="single" w:sz="4" w:space="0" w:color="auto"/>
              <w:bottom w:val="thinThickSmallGap" w:sz="12" w:space="0" w:color="auto"/>
              <w:right w:val="single" w:sz="4" w:space="0" w:color="auto"/>
            </w:tcBorders>
            <w:vAlign w:val="center"/>
          </w:tcPr>
          <w:p w:rsidR="00000000" w:rsidRDefault="00D93457">
            <w:pPr>
              <w:pStyle w:val="BodyText"/>
              <w:tabs>
                <w:tab w:val="left" w:pos="9900"/>
              </w:tabs>
              <w:rPr>
                <w:rFonts w:ascii="Arial" w:hAnsi="Arial"/>
                <w:b/>
                <w:bCs/>
                <w:sz w:val="18"/>
              </w:rPr>
            </w:pPr>
          </w:p>
        </w:tc>
        <w:tc>
          <w:tcPr>
            <w:tcW w:w="1434" w:type="dxa"/>
            <w:gridSpan w:val="3"/>
            <w:vMerge/>
            <w:tcBorders>
              <w:left w:val="single" w:sz="4" w:space="0" w:color="auto"/>
              <w:bottom w:val="thinThickSmallGap" w:sz="12" w:space="0" w:color="auto"/>
              <w:right w:val="single" w:sz="4" w:space="0" w:color="auto"/>
            </w:tcBorders>
          </w:tcPr>
          <w:p w:rsidR="00000000" w:rsidRDefault="00D93457">
            <w:pPr>
              <w:pStyle w:val="BodyText"/>
              <w:tabs>
                <w:tab w:val="left" w:pos="9900"/>
              </w:tabs>
              <w:rPr>
                <w:rFonts w:ascii="Arial" w:hAnsi="Arial"/>
                <w:b/>
                <w:bCs/>
                <w:sz w:val="18"/>
              </w:rPr>
            </w:pPr>
          </w:p>
        </w:tc>
        <w:tc>
          <w:tcPr>
            <w:tcW w:w="604" w:type="dxa"/>
            <w:gridSpan w:val="2"/>
            <w:tcBorders>
              <w:top w:val="nil"/>
              <w:left w:val="single" w:sz="4" w:space="0" w:color="auto"/>
              <w:bottom w:val="thinThickSmallGap" w:sz="12" w:space="0" w:color="auto"/>
              <w:right w:val="nil"/>
            </w:tcBorders>
            <w:vAlign w:val="center"/>
          </w:tcPr>
          <w:p w:rsidR="00000000" w:rsidRDefault="00D93457">
            <w:pPr>
              <w:pStyle w:val="BodyText"/>
              <w:tabs>
                <w:tab w:val="left" w:pos="9900"/>
              </w:tabs>
              <w:ind w:right="-491"/>
              <w:rPr>
                <w:rFonts w:ascii="Arial" w:hAnsi="Arial"/>
                <w:b/>
                <w:bCs/>
                <w:sz w:val="18"/>
              </w:rPr>
            </w:pPr>
            <w:r>
              <w:rPr>
                <w:rFonts w:ascii="Arial" w:hAnsi="Arial"/>
                <w:b/>
                <w:bCs/>
                <w:sz w:val="18"/>
              </w:rPr>
              <w:t>Wild</w:t>
            </w:r>
          </w:p>
        </w:tc>
        <w:tc>
          <w:tcPr>
            <w:tcW w:w="605" w:type="dxa"/>
            <w:tcBorders>
              <w:top w:val="nil"/>
              <w:left w:val="nil"/>
              <w:bottom w:val="thinThickSmallGap" w:sz="12" w:space="0" w:color="auto"/>
              <w:right w:val="single" w:sz="4" w:space="0" w:color="auto"/>
            </w:tcBorders>
            <w:vAlign w:val="center"/>
          </w:tcPr>
          <w:p w:rsidR="00000000" w:rsidRDefault="00D93457">
            <w:pPr>
              <w:pStyle w:val="BodyText"/>
              <w:tabs>
                <w:tab w:val="left" w:pos="9900"/>
              </w:tabs>
              <w:ind w:left="-85" w:right="-423"/>
              <w:rPr>
                <w:rFonts w:ascii="Arial" w:hAnsi="Arial"/>
                <w:b/>
                <w:bCs/>
                <w:sz w:val="18"/>
              </w:rPr>
            </w:pPr>
            <w:r>
              <w:rPr>
                <w:rFonts w:ascii="Arial" w:hAnsi="Arial"/>
                <w:b/>
                <w:bCs/>
                <w:sz w:val="18"/>
              </w:rPr>
              <w:t>Hatch</w:t>
            </w:r>
          </w:p>
        </w:tc>
      </w:tr>
      <w:tr w:rsidR="00000000">
        <w:tblPrEx>
          <w:tblCellMar>
            <w:top w:w="0" w:type="dxa"/>
            <w:bottom w:w="0" w:type="dxa"/>
          </w:tblCellMar>
        </w:tblPrEx>
        <w:trPr>
          <w:cantSplit/>
          <w:trHeight w:val="288"/>
          <w:jc w:val="center"/>
        </w:trPr>
        <w:tc>
          <w:tcPr>
            <w:tcW w:w="1438"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171"/>
              <w:rPr>
                <w:rFonts w:ascii="Arial" w:hAnsi="Arial"/>
                <w:sz w:val="18"/>
              </w:rPr>
            </w:pPr>
            <w:r>
              <w:rPr>
                <w:rFonts w:ascii="Arial" w:hAnsi="Arial"/>
                <w:sz w:val="18"/>
              </w:rPr>
              <w:t>MCN 17-April</w:t>
            </w:r>
          </w:p>
        </w:tc>
        <w:tc>
          <w:tcPr>
            <w:tcW w:w="637"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316"/>
              <w:rPr>
                <w:rFonts w:ascii="Arial" w:hAnsi="Arial"/>
                <w:sz w:val="18"/>
              </w:rPr>
            </w:pPr>
            <w:r>
              <w:rPr>
                <w:rFonts w:ascii="Arial" w:hAnsi="Arial"/>
                <w:sz w:val="18"/>
              </w:rPr>
              <w:t>1</w:t>
            </w:r>
          </w:p>
        </w:tc>
        <w:tc>
          <w:tcPr>
            <w:tcW w:w="779"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67.0</w:t>
            </w:r>
          </w:p>
        </w:tc>
        <w:tc>
          <w:tcPr>
            <w:tcW w:w="698"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w:t>
            </w:r>
          </w:p>
        </w:tc>
        <w:tc>
          <w:tcPr>
            <w:tcW w:w="939"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288"/>
              <w:rPr>
                <w:rFonts w:ascii="Arial" w:hAnsi="Arial"/>
                <w:sz w:val="18"/>
              </w:rPr>
            </w:pPr>
            <w:r>
              <w:rPr>
                <w:rFonts w:ascii="Arial" w:hAnsi="Arial"/>
                <w:sz w:val="18"/>
              </w:rPr>
              <w:t>67</w:t>
            </w:r>
          </w:p>
        </w:tc>
        <w:tc>
          <w:tcPr>
            <w:tcW w:w="448"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468"/>
              <w:rPr>
                <w:rFonts w:ascii="Arial" w:hAnsi="Arial"/>
                <w:sz w:val="18"/>
              </w:rPr>
            </w:pPr>
            <w:r>
              <w:rPr>
                <w:rFonts w:ascii="Arial" w:hAnsi="Arial"/>
                <w:sz w:val="18"/>
              </w:rPr>
              <w:t>0</w:t>
            </w:r>
          </w:p>
        </w:tc>
        <w:tc>
          <w:tcPr>
            <w:tcW w:w="493"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1</w:t>
            </w:r>
          </w:p>
        </w:tc>
        <w:tc>
          <w:tcPr>
            <w:tcW w:w="493"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0</w:t>
            </w:r>
          </w:p>
        </w:tc>
        <w:tc>
          <w:tcPr>
            <w:tcW w:w="564" w:type="dxa"/>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1</w:t>
            </w:r>
          </w:p>
        </w:tc>
        <w:tc>
          <w:tcPr>
            <w:tcW w:w="645" w:type="dxa"/>
            <w:gridSpan w:val="2"/>
            <w:tcBorders>
              <w:top w:val="thinThickSmallGap" w:sz="12"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171"/>
              <w:rPr>
                <w:rFonts w:ascii="Arial" w:hAnsi="Arial"/>
                <w:sz w:val="18"/>
              </w:rPr>
            </w:pPr>
            <w:r>
              <w:rPr>
                <w:rFonts w:ascii="Arial" w:hAnsi="Arial"/>
                <w:sz w:val="18"/>
              </w:rPr>
              <w:t xml:space="preserve">MCN 18-April </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316"/>
              <w:rPr>
                <w:rFonts w:ascii="Arial" w:hAnsi="Arial"/>
                <w:sz w:val="18"/>
              </w:rPr>
            </w:pPr>
            <w:r>
              <w:rPr>
                <w:rFonts w:ascii="Arial" w:hAnsi="Arial"/>
                <w:sz w:val="18"/>
              </w:rPr>
              <w:t>6</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63.8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7.7</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rPr>
                <w:rFonts w:ascii="Arial" w:hAnsi="Arial"/>
                <w:sz w:val="18"/>
              </w:rPr>
            </w:pPr>
            <w:r>
              <w:rPr>
                <w:rFonts w:ascii="Arial" w:hAnsi="Arial"/>
                <w:sz w:val="18"/>
              </w:rPr>
              <w:t>53 – 71</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2</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MCN 20-April</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316"/>
              <w:rPr>
                <w:rFonts w:ascii="Arial" w:hAnsi="Arial"/>
                <w:sz w:val="18"/>
              </w:rPr>
            </w:pPr>
            <w:r>
              <w:rPr>
                <w:rFonts w:ascii="Arial" w:hAnsi="Arial"/>
                <w:sz w:val="18"/>
              </w:rPr>
              <w:t>5</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62.8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jc w:val="center"/>
              <w:rPr>
                <w:rFonts w:ascii="Arial" w:hAnsi="Arial"/>
                <w:sz w:val="18"/>
              </w:rPr>
            </w:pPr>
            <w:r>
              <w:rPr>
                <w:rFonts w:ascii="Arial" w:hAnsi="Arial"/>
                <w:sz w:val="18"/>
              </w:rPr>
              <w:t>7.1</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288"/>
              <w:rPr>
                <w:rFonts w:ascii="Arial" w:hAnsi="Arial"/>
                <w:sz w:val="18"/>
              </w:rPr>
            </w:pPr>
            <w:r>
              <w:rPr>
                <w:rFonts w:ascii="Arial" w:hAnsi="Arial"/>
                <w:sz w:val="18"/>
              </w:rPr>
              <w:t>55 – 71</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tabs>
                <w:tab w:val="left" w:pos="9900"/>
              </w:tabs>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23-April</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14</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62.5</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 xml:space="preserve">7.6 </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51 – 74</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10</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MCN 24-Ap</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72.5</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4.9</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69 - 76</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25-April</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21</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63.4</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51 – 73</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8</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21</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26-April</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20</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6.8</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57 – 74</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MCN 27-April</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5</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64.5</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54 – 70</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30-April</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13</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64.5</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54 – 70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12</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1-May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8</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63.1</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5.6</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54 – 69</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2-May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7</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63.4</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8.8</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52 – 81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7</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MCN 4-May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7</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61.4</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4.9</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55 – 70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7-May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17</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9.0</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52 – 87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13</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8-May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65.6</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56 – 73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9</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9</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9-May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5</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57</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58 – 73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MCN 11-May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5</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59.8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7.0</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54 – 72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14-May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5</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3.9</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54 – 64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w:t>
            </w:r>
            <w:r>
              <w:rPr>
                <w:rFonts w:ascii="Arial" w:hAnsi="Arial"/>
                <w:sz w:val="18"/>
              </w:rPr>
              <w:t>DD 15-May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6</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5.9</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55 – 70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16-May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60.8</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5.7</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56 – 69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MCN 18-May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6</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59</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5.0</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53 – 69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21-May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5</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63.5</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12.5</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55 – 85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JDD 23-May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8</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61.6</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53 – 70</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MCN 25-May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65.1</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5.2</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56 – 72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r>
      <w:tr w:rsidR="00000000">
        <w:tblPrEx>
          <w:tblCellMar>
            <w:top w:w="0" w:type="dxa"/>
            <w:bottom w:w="0" w:type="dxa"/>
          </w:tblCellMar>
        </w:tblPrEx>
        <w:trPr>
          <w:cantSplit/>
          <w:trHeight w:val="288"/>
          <w:jc w:val="center"/>
        </w:trPr>
        <w:tc>
          <w:tcPr>
            <w:tcW w:w="1438" w:type="dxa"/>
            <w:tcBorders>
              <w:top w:val="single" w:sz="4" w:space="0" w:color="auto"/>
              <w:left w:val="single" w:sz="4" w:space="0" w:color="auto"/>
              <w:bottom w:val="single" w:sz="2" w:space="0" w:color="auto"/>
              <w:right w:val="single" w:sz="4" w:space="0" w:color="auto"/>
            </w:tcBorders>
            <w:vAlign w:val="center"/>
          </w:tcPr>
          <w:p w:rsidR="00000000" w:rsidRDefault="00D93457">
            <w:pPr>
              <w:ind w:right="-720"/>
              <w:rPr>
                <w:rFonts w:ascii="Arial" w:hAnsi="Arial"/>
                <w:sz w:val="18"/>
              </w:rPr>
            </w:pPr>
            <w:r>
              <w:rPr>
                <w:rFonts w:ascii="Arial" w:hAnsi="Arial"/>
                <w:sz w:val="18"/>
              </w:rPr>
              <w:t>JDD 3</w:t>
            </w:r>
            <w:r>
              <w:rPr>
                <w:rFonts w:ascii="Arial" w:hAnsi="Arial"/>
                <w:sz w:val="18"/>
              </w:rPr>
              <w:t>0-May</w:t>
            </w:r>
          </w:p>
        </w:tc>
        <w:tc>
          <w:tcPr>
            <w:tcW w:w="637" w:type="dxa"/>
            <w:tcBorders>
              <w:top w:val="single" w:sz="4" w:space="0" w:color="auto"/>
              <w:left w:val="single" w:sz="4"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64.3</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5.6</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59 – 70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2"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sz w:val="18"/>
              </w:rPr>
            </w:pPr>
            <w:r>
              <w:rPr>
                <w:rFonts w:ascii="Arial" w:hAnsi="Arial"/>
                <w:sz w:val="18"/>
              </w:rPr>
              <w:t>JDD 31-May</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5</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62.6</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5.8</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54 – 69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2</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sz w:val="18"/>
              </w:rPr>
            </w:pPr>
            <w:r>
              <w:rPr>
                <w:rFonts w:ascii="Arial" w:hAnsi="Arial"/>
                <w:sz w:val="18"/>
              </w:rPr>
              <w:t>MCN 01-June</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6</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62.3</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8.8</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54 – 76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6</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sz w:val="18"/>
              </w:rPr>
            </w:pPr>
            <w:r>
              <w:rPr>
                <w:rFonts w:ascii="Arial" w:hAnsi="Arial"/>
                <w:sz w:val="18"/>
              </w:rPr>
              <w:t>JDD 04-June</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57.5</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3.5</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55 – 60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r>
      <w:tr w:rsidR="00000000">
        <w:tblPrEx>
          <w:tblCellMar>
            <w:top w:w="0" w:type="dxa"/>
            <w:bottom w:w="0" w:type="dxa"/>
          </w:tblCellMar>
        </w:tblPrEx>
        <w:trPr>
          <w:cantSplit/>
          <w:trHeight w:val="288"/>
          <w:jc w:val="center"/>
        </w:trPr>
        <w:tc>
          <w:tcPr>
            <w:tcW w:w="1438"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sz w:val="18"/>
              </w:rPr>
            </w:pPr>
            <w:r>
              <w:rPr>
                <w:rFonts w:ascii="Arial" w:hAnsi="Arial"/>
                <w:sz w:val="18"/>
              </w:rPr>
              <w:t>JDD 06-June</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67</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4.8</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64 –74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3</w:t>
            </w:r>
          </w:p>
        </w:tc>
      </w:tr>
      <w:tr w:rsidR="00000000">
        <w:tblPrEx>
          <w:tblCellMar>
            <w:top w:w="0" w:type="dxa"/>
            <w:bottom w:w="0" w:type="dxa"/>
          </w:tblCellMar>
        </w:tblPrEx>
        <w:trPr>
          <w:cantSplit/>
          <w:trHeight w:val="288"/>
          <w:jc w:val="center"/>
        </w:trPr>
        <w:tc>
          <w:tcPr>
            <w:tcW w:w="1438"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sz w:val="18"/>
              </w:rPr>
            </w:pPr>
            <w:r>
              <w:rPr>
                <w:rFonts w:ascii="Arial" w:hAnsi="Arial"/>
                <w:sz w:val="18"/>
              </w:rPr>
              <w:t>JDD 20-June</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1</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71</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71</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1</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0</w:t>
            </w:r>
          </w:p>
        </w:tc>
      </w:tr>
      <w:tr w:rsidR="00000000">
        <w:tblPrEx>
          <w:tblCellMar>
            <w:top w:w="0" w:type="dxa"/>
            <w:bottom w:w="0" w:type="dxa"/>
          </w:tblCellMar>
        </w:tblPrEx>
        <w:trPr>
          <w:cantSplit/>
          <w:trHeight w:val="288"/>
          <w:jc w:val="center"/>
        </w:trPr>
        <w:tc>
          <w:tcPr>
            <w:tcW w:w="1438" w:type="dxa"/>
            <w:tcBorders>
              <w:top w:val="single" w:sz="4" w:space="0" w:color="auto"/>
              <w:left w:val="single" w:sz="2" w:space="0" w:color="auto"/>
              <w:bottom w:val="single" w:sz="4" w:space="0" w:color="auto"/>
              <w:right w:val="single" w:sz="2" w:space="0" w:color="auto"/>
            </w:tcBorders>
            <w:vAlign w:val="center"/>
          </w:tcPr>
          <w:p w:rsidR="00000000" w:rsidRDefault="00D93457">
            <w:pPr>
              <w:ind w:right="-720"/>
              <w:rPr>
                <w:rFonts w:ascii="Arial" w:hAnsi="Arial"/>
                <w:b/>
                <w:bCs/>
                <w:sz w:val="18"/>
              </w:rPr>
            </w:pPr>
            <w:r>
              <w:rPr>
                <w:rFonts w:ascii="Arial" w:hAnsi="Arial"/>
                <w:b/>
                <w:bCs/>
                <w:sz w:val="18"/>
              </w:rPr>
              <w:t xml:space="preserve">       Overall:</w:t>
            </w:r>
          </w:p>
        </w:tc>
        <w:tc>
          <w:tcPr>
            <w:tcW w:w="637" w:type="dxa"/>
            <w:tcBorders>
              <w:top w:val="single" w:sz="4" w:space="0" w:color="auto"/>
              <w:left w:val="single" w:sz="2" w:space="0" w:color="auto"/>
              <w:bottom w:val="single" w:sz="4" w:space="0" w:color="auto"/>
              <w:right w:val="single" w:sz="4" w:space="0" w:color="auto"/>
            </w:tcBorders>
            <w:vAlign w:val="center"/>
          </w:tcPr>
          <w:p w:rsidR="00000000" w:rsidRDefault="00D93457">
            <w:pPr>
              <w:ind w:right="-316"/>
              <w:rPr>
                <w:rFonts w:ascii="Arial" w:hAnsi="Arial"/>
                <w:sz w:val="18"/>
              </w:rPr>
            </w:pPr>
            <w:r>
              <w:rPr>
                <w:rFonts w:ascii="Arial" w:hAnsi="Arial"/>
                <w:sz w:val="18"/>
              </w:rPr>
              <w:t>2</w:t>
            </w:r>
            <w:r>
              <w:rPr>
                <w:rFonts w:ascii="Arial" w:hAnsi="Arial"/>
                <w:sz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63.1</w:t>
            </w:r>
          </w:p>
        </w:tc>
        <w:tc>
          <w:tcPr>
            <w:tcW w:w="69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jc w:val="center"/>
              <w:rPr>
                <w:rFonts w:ascii="Arial" w:hAnsi="Arial"/>
                <w:sz w:val="18"/>
              </w:rPr>
            </w:pPr>
            <w:r>
              <w:rPr>
                <w:rFonts w:ascii="Arial" w:hAnsi="Arial"/>
                <w:sz w:val="18"/>
              </w:rPr>
              <w:t>8.0</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D93457">
            <w:pPr>
              <w:ind w:right="-288"/>
              <w:rPr>
                <w:rFonts w:ascii="Arial" w:hAnsi="Arial"/>
                <w:sz w:val="18"/>
              </w:rPr>
            </w:pPr>
            <w:r>
              <w:rPr>
                <w:rFonts w:ascii="Arial" w:hAnsi="Arial"/>
                <w:sz w:val="18"/>
              </w:rPr>
              <w:t xml:space="preserve">51 – 87 </w:t>
            </w:r>
          </w:p>
        </w:tc>
        <w:tc>
          <w:tcPr>
            <w:tcW w:w="448" w:type="dxa"/>
            <w:tcBorders>
              <w:top w:val="single" w:sz="4" w:space="0" w:color="auto"/>
              <w:left w:val="single" w:sz="4" w:space="0" w:color="auto"/>
              <w:bottom w:val="single" w:sz="4" w:space="0" w:color="auto"/>
              <w:right w:val="single" w:sz="4" w:space="0" w:color="auto"/>
            </w:tcBorders>
            <w:vAlign w:val="center"/>
          </w:tcPr>
          <w:p w:rsidR="00000000" w:rsidRDefault="00D93457">
            <w:pPr>
              <w:ind w:right="-468"/>
              <w:rPr>
                <w:rFonts w:ascii="Arial" w:hAnsi="Arial"/>
                <w:sz w:val="18"/>
              </w:rPr>
            </w:pPr>
            <w:r>
              <w:rPr>
                <w:rFonts w:ascii="Arial" w:hAnsi="Arial"/>
                <w:sz w:val="18"/>
              </w:rPr>
              <w:t>3</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159</w:t>
            </w:r>
          </w:p>
        </w:tc>
        <w:tc>
          <w:tcPr>
            <w:tcW w:w="493"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50</w:t>
            </w:r>
          </w:p>
        </w:tc>
        <w:tc>
          <w:tcPr>
            <w:tcW w:w="564" w:type="dxa"/>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166</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000000" w:rsidRDefault="00D93457">
            <w:pPr>
              <w:ind w:right="-720"/>
              <w:rPr>
                <w:rFonts w:ascii="Arial" w:hAnsi="Arial"/>
                <w:sz w:val="18"/>
              </w:rPr>
            </w:pPr>
            <w:r>
              <w:rPr>
                <w:rFonts w:ascii="Arial" w:hAnsi="Arial"/>
                <w:sz w:val="18"/>
              </w:rPr>
              <w:t>46</w:t>
            </w:r>
          </w:p>
        </w:tc>
      </w:tr>
    </w:tbl>
    <w:p w:rsidR="00000000" w:rsidRDefault="00D93457">
      <w:pPr>
        <w:pStyle w:val="BodyTextIndent"/>
        <w:spacing w:line="360" w:lineRule="auto"/>
        <w:ind w:left="0" w:firstLine="0"/>
        <w:rPr>
          <w:sz w:val="20"/>
        </w:rPr>
      </w:pPr>
      <w:r>
        <w:rPr>
          <w:rFonts w:ascii="Arial" w:hAnsi="Arial"/>
          <w:i/>
          <w:iCs/>
          <w:sz w:val="18"/>
        </w:rPr>
        <w:t xml:space="preserve">                                                                                                                                     </w:t>
      </w:r>
    </w:p>
    <w:p w:rsidR="00000000" w:rsidRDefault="00D93457">
      <w:pPr>
        <w:pStyle w:val="BodyTextIndent"/>
        <w:spacing w:line="360" w:lineRule="auto"/>
        <w:ind w:left="0" w:firstLine="0"/>
        <w:rPr>
          <w:sz w:val="20"/>
        </w:rPr>
      </w:pPr>
    </w:p>
    <w:p w:rsidR="00000000" w:rsidRDefault="00D93457"/>
    <w:p w:rsidR="00000000" w:rsidRDefault="00D93457">
      <w:pPr>
        <w:jc w:val="both"/>
      </w:pPr>
    </w:p>
    <w:p w:rsidR="00000000" w:rsidRDefault="00D93457">
      <w:pPr>
        <w:jc w:val="both"/>
      </w:pPr>
    </w:p>
    <w:p w:rsidR="00000000" w:rsidRDefault="00D93457">
      <w:pPr>
        <w:jc w:val="both"/>
      </w:pPr>
    </w:p>
    <w:p w:rsidR="00000000" w:rsidRDefault="00D93457">
      <w:pPr>
        <w:jc w:val="both"/>
      </w:pPr>
    </w:p>
    <w:p w:rsidR="00000000" w:rsidRDefault="00D93457">
      <w:pPr>
        <w:jc w:val="both"/>
      </w:pPr>
      <w:r>
        <w:lastRenderedPageBreak/>
        <w:t>Summary of UI fixed site aerial and underwater receiver/antenna telemetry arra</w:t>
      </w:r>
      <w:r>
        <w:t xml:space="preserve">ys.  Arrays   were operated and maintained by University of Idaho.  Data from these locations forwarded to the Fisheries Field Unit and CRITFC. </w:t>
      </w:r>
    </w:p>
    <w:p w:rsidR="00000000" w:rsidRDefault="00D93457">
      <w:pPr>
        <w:jc w:val="both"/>
      </w:pPr>
    </w:p>
    <w:p w:rsidR="00000000" w:rsidRDefault="00D93457">
      <w:pPr>
        <w:jc w:val="both"/>
      </w:pPr>
      <w:r>
        <w:t>University of Idaho fixed stations.</w:t>
      </w:r>
    </w:p>
    <w:p w:rsidR="00000000" w:rsidRDefault="00D93457">
      <w:pPr>
        <w:pStyle w:val="Header"/>
        <w:tabs>
          <w:tab w:val="clear" w:pos="4320"/>
          <w:tab w:val="clear" w:pos="8640"/>
        </w:tabs>
        <w:jc w:val="both"/>
        <w:rPr>
          <w:sz w:val="20"/>
        </w:rPr>
      </w:pPr>
    </w:p>
    <w:tbl>
      <w:tblPr>
        <w:tblW w:w="0" w:type="auto"/>
        <w:tblInd w:w="30" w:type="dxa"/>
        <w:tblLayout w:type="fixed"/>
        <w:tblCellMar>
          <w:left w:w="30" w:type="dxa"/>
          <w:right w:w="30" w:type="dxa"/>
        </w:tblCellMar>
        <w:tblLook w:val="0000"/>
      </w:tblPr>
      <w:tblGrid>
        <w:gridCol w:w="994"/>
        <w:gridCol w:w="1248"/>
        <w:gridCol w:w="1024"/>
        <w:gridCol w:w="1216"/>
        <w:gridCol w:w="4958"/>
      </w:tblGrid>
      <w:tr w:rsidR="00000000">
        <w:tblPrEx>
          <w:tblCellMar>
            <w:top w:w="0" w:type="dxa"/>
            <w:bottom w:w="0" w:type="dxa"/>
          </w:tblCellMar>
        </w:tblPrEx>
        <w:trPr>
          <w:trHeight w:val="256"/>
        </w:trPr>
        <w:tc>
          <w:tcPr>
            <w:tcW w:w="994" w:type="dxa"/>
          </w:tcPr>
          <w:p w:rsidR="00000000" w:rsidRDefault="00D93457">
            <w:pPr>
              <w:pStyle w:val="Heading1"/>
              <w:jc w:val="both"/>
              <w:rPr>
                <w:sz w:val="20"/>
              </w:rPr>
            </w:pPr>
            <w:r>
              <w:rPr>
                <w:sz w:val="20"/>
              </w:rPr>
              <w:t>Site</w:t>
            </w:r>
          </w:p>
        </w:tc>
        <w:tc>
          <w:tcPr>
            <w:tcW w:w="1248" w:type="dxa"/>
          </w:tcPr>
          <w:p w:rsidR="00000000" w:rsidRDefault="00D93457">
            <w:pPr>
              <w:pStyle w:val="Heading1"/>
              <w:jc w:val="both"/>
              <w:rPr>
                <w:sz w:val="20"/>
              </w:rPr>
            </w:pPr>
            <w:r>
              <w:rPr>
                <w:sz w:val="20"/>
              </w:rPr>
              <w:t>Antennas</w:t>
            </w:r>
          </w:p>
        </w:tc>
        <w:tc>
          <w:tcPr>
            <w:tcW w:w="1024" w:type="dxa"/>
          </w:tcPr>
          <w:p w:rsidR="00000000" w:rsidRDefault="00D93457">
            <w:pPr>
              <w:pStyle w:val="Heading1"/>
              <w:jc w:val="both"/>
              <w:rPr>
                <w:sz w:val="20"/>
              </w:rPr>
            </w:pPr>
            <w:r>
              <w:rPr>
                <w:sz w:val="20"/>
              </w:rPr>
              <w:t>RKM</w:t>
            </w:r>
          </w:p>
        </w:tc>
        <w:tc>
          <w:tcPr>
            <w:tcW w:w="1216" w:type="dxa"/>
          </w:tcPr>
          <w:p w:rsidR="00000000" w:rsidRDefault="00D93457">
            <w:pPr>
              <w:pStyle w:val="Heading1"/>
              <w:jc w:val="both"/>
              <w:rPr>
                <w:sz w:val="20"/>
              </w:rPr>
            </w:pPr>
            <w:r>
              <w:rPr>
                <w:sz w:val="20"/>
              </w:rPr>
              <w:t>Receiver</w:t>
            </w:r>
          </w:p>
        </w:tc>
        <w:tc>
          <w:tcPr>
            <w:tcW w:w="4958" w:type="dxa"/>
          </w:tcPr>
          <w:p w:rsidR="00000000" w:rsidRDefault="00D93457">
            <w:pPr>
              <w:pStyle w:val="Heading1"/>
              <w:jc w:val="both"/>
              <w:rPr>
                <w:sz w:val="20"/>
              </w:rPr>
            </w:pPr>
            <w:r>
              <w:rPr>
                <w:sz w:val="20"/>
              </w:rPr>
              <w:t>Description</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1BO</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232.3</w:t>
            </w:r>
          </w:p>
        </w:tc>
        <w:tc>
          <w:tcPr>
            <w:tcW w:w="1216" w:type="dxa"/>
          </w:tcPr>
          <w:p w:rsidR="00000000" w:rsidRDefault="00D93457">
            <w:pPr>
              <w:jc w:val="center"/>
              <w:rPr>
                <w:snapToGrid w:val="0"/>
                <w:sz w:val="20"/>
              </w:rPr>
            </w:pPr>
            <w:r>
              <w:rPr>
                <w:snapToGrid w:val="0"/>
                <w:sz w:val="20"/>
              </w:rPr>
              <w:t>SRX</w:t>
            </w:r>
          </w:p>
        </w:tc>
        <w:tc>
          <w:tcPr>
            <w:tcW w:w="4958" w:type="dxa"/>
          </w:tcPr>
          <w:p w:rsidR="00000000" w:rsidRDefault="00D93457">
            <w:pPr>
              <w:jc w:val="both"/>
              <w:rPr>
                <w:snapToGrid w:val="0"/>
                <w:sz w:val="20"/>
              </w:rPr>
            </w:pPr>
            <w:r>
              <w:rPr>
                <w:snapToGrid w:val="0"/>
                <w:sz w:val="20"/>
              </w:rPr>
              <w:t xml:space="preserve">Washington shore </w:t>
            </w:r>
            <w:r>
              <w:rPr>
                <w:snapToGrid w:val="0"/>
                <w:sz w:val="20"/>
              </w:rPr>
              <w:t>at the Hamilton Island boat ramp</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2BO</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232.3</w:t>
            </w:r>
          </w:p>
        </w:tc>
        <w:tc>
          <w:tcPr>
            <w:tcW w:w="1216" w:type="dxa"/>
          </w:tcPr>
          <w:p w:rsidR="00000000" w:rsidRDefault="00D93457">
            <w:pPr>
              <w:jc w:val="center"/>
              <w:rPr>
                <w:snapToGrid w:val="0"/>
                <w:sz w:val="20"/>
              </w:rPr>
            </w:pPr>
            <w:r>
              <w:rPr>
                <w:snapToGrid w:val="0"/>
                <w:sz w:val="20"/>
              </w:rPr>
              <w:t>SRX</w:t>
            </w:r>
          </w:p>
        </w:tc>
        <w:tc>
          <w:tcPr>
            <w:tcW w:w="4958" w:type="dxa"/>
          </w:tcPr>
          <w:p w:rsidR="00000000" w:rsidRDefault="00D93457">
            <w:pPr>
              <w:rPr>
                <w:snapToGrid w:val="0"/>
                <w:sz w:val="20"/>
              </w:rPr>
            </w:pPr>
            <w:r>
              <w:rPr>
                <w:snapToGrid w:val="0"/>
                <w:sz w:val="20"/>
              </w:rPr>
              <w:t>Oregon shore across from the Hamilton Island boat ramp</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SBO</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235.3</w:t>
            </w:r>
          </w:p>
        </w:tc>
        <w:tc>
          <w:tcPr>
            <w:tcW w:w="1216" w:type="dxa"/>
          </w:tcPr>
          <w:p w:rsidR="00000000" w:rsidRDefault="00D93457">
            <w:pPr>
              <w:jc w:val="center"/>
              <w:rPr>
                <w:snapToGrid w:val="0"/>
                <w:sz w:val="20"/>
              </w:rPr>
            </w:pPr>
            <w:r>
              <w:rPr>
                <w:snapToGrid w:val="0"/>
                <w:sz w:val="20"/>
              </w:rPr>
              <w:t>SRX</w:t>
            </w:r>
          </w:p>
        </w:tc>
        <w:tc>
          <w:tcPr>
            <w:tcW w:w="4958" w:type="dxa"/>
          </w:tcPr>
          <w:p w:rsidR="00000000" w:rsidRDefault="00D93457">
            <w:pPr>
              <w:rPr>
                <w:snapToGrid w:val="0"/>
                <w:sz w:val="20"/>
              </w:rPr>
            </w:pPr>
            <w:r>
              <w:rPr>
                <w:snapToGrid w:val="0"/>
                <w:sz w:val="20"/>
              </w:rPr>
              <w:t>Forebay above spillway, north shore facing south</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BF2</w:t>
            </w:r>
          </w:p>
        </w:tc>
        <w:tc>
          <w:tcPr>
            <w:tcW w:w="1248" w:type="dxa"/>
          </w:tcPr>
          <w:p w:rsidR="00000000" w:rsidRDefault="00D93457">
            <w:pPr>
              <w:jc w:val="center"/>
              <w:rPr>
                <w:snapToGrid w:val="0"/>
                <w:sz w:val="20"/>
              </w:rPr>
            </w:pPr>
            <w:r>
              <w:rPr>
                <w:snapToGrid w:val="0"/>
                <w:sz w:val="20"/>
              </w:rPr>
              <w:t>1-5</w:t>
            </w:r>
          </w:p>
        </w:tc>
        <w:tc>
          <w:tcPr>
            <w:tcW w:w="1024" w:type="dxa"/>
          </w:tcPr>
          <w:p w:rsidR="00000000" w:rsidRDefault="00D93457">
            <w:pPr>
              <w:jc w:val="center"/>
              <w:rPr>
                <w:snapToGrid w:val="0"/>
                <w:sz w:val="20"/>
              </w:rPr>
            </w:pPr>
            <w:r>
              <w:rPr>
                <w:snapToGrid w:val="0"/>
                <w:sz w:val="20"/>
              </w:rPr>
              <w:t>235.2</w:t>
            </w:r>
          </w:p>
        </w:tc>
        <w:tc>
          <w:tcPr>
            <w:tcW w:w="1216" w:type="dxa"/>
          </w:tcPr>
          <w:p w:rsidR="00000000" w:rsidRDefault="00D93457">
            <w:pPr>
              <w:jc w:val="center"/>
              <w:rPr>
                <w:snapToGrid w:val="0"/>
                <w:sz w:val="20"/>
              </w:rPr>
            </w:pPr>
            <w:r>
              <w:rPr>
                <w:snapToGrid w:val="0"/>
                <w:sz w:val="20"/>
              </w:rPr>
              <w:t>SRX</w:t>
            </w:r>
          </w:p>
        </w:tc>
        <w:tc>
          <w:tcPr>
            <w:tcW w:w="4958" w:type="dxa"/>
          </w:tcPr>
          <w:p w:rsidR="00000000" w:rsidRDefault="00D93457">
            <w:pPr>
              <w:rPr>
                <w:snapToGrid w:val="0"/>
                <w:sz w:val="20"/>
              </w:rPr>
            </w:pPr>
            <w:r>
              <w:rPr>
                <w:snapToGrid w:val="0"/>
                <w:sz w:val="20"/>
              </w:rPr>
              <w:t>Bonneville Spillway Forebay</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BF3</w:t>
            </w:r>
          </w:p>
        </w:tc>
        <w:tc>
          <w:tcPr>
            <w:tcW w:w="1248" w:type="dxa"/>
          </w:tcPr>
          <w:p w:rsidR="00000000" w:rsidRDefault="00D93457">
            <w:pPr>
              <w:jc w:val="center"/>
              <w:rPr>
                <w:snapToGrid w:val="0"/>
                <w:sz w:val="20"/>
              </w:rPr>
            </w:pPr>
            <w:r>
              <w:rPr>
                <w:snapToGrid w:val="0"/>
                <w:sz w:val="20"/>
              </w:rPr>
              <w:t>1-4</w:t>
            </w:r>
          </w:p>
        </w:tc>
        <w:tc>
          <w:tcPr>
            <w:tcW w:w="1024" w:type="dxa"/>
          </w:tcPr>
          <w:p w:rsidR="00000000" w:rsidRDefault="00D93457">
            <w:pPr>
              <w:jc w:val="center"/>
              <w:rPr>
                <w:snapToGrid w:val="0"/>
                <w:sz w:val="20"/>
              </w:rPr>
            </w:pPr>
            <w:r>
              <w:rPr>
                <w:snapToGrid w:val="0"/>
                <w:sz w:val="20"/>
              </w:rPr>
              <w:t>235.2</w:t>
            </w:r>
          </w:p>
        </w:tc>
        <w:tc>
          <w:tcPr>
            <w:tcW w:w="1216" w:type="dxa"/>
          </w:tcPr>
          <w:p w:rsidR="00000000" w:rsidRDefault="00D93457">
            <w:pPr>
              <w:jc w:val="center"/>
              <w:rPr>
                <w:snapToGrid w:val="0"/>
                <w:sz w:val="20"/>
              </w:rPr>
            </w:pPr>
            <w:r>
              <w:rPr>
                <w:snapToGrid w:val="0"/>
                <w:sz w:val="20"/>
              </w:rPr>
              <w:t>SRX</w:t>
            </w:r>
          </w:p>
        </w:tc>
        <w:tc>
          <w:tcPr>
            <w:tcW w:w="4958" w:type="dxa"/>
          </w:tcPr>
          <w:p w:rsidR="00000000" w:rsidRDefault="00D93457">
            <w:pPr>
              <w:rPr>
                <w:snapToGrid w:val="0"/>
                <w:sz w:val="20"/>
              </w:rPr>
            </w:pPr>
            <w:r>
              <w:rPr>
                <w:snapToGrid w:val="0"/>
                <w:sz w:val="20"/>
              </w:rPr>
              <w:t>Bonneville Spillway</w:t>
            </w:r>
            <w:r>
              <w:rPr>
                <w:snapToGrid w:val="0"/>
                <w:sz w:val="20"/>
              </w:rPr>
              <w:t xml:space="preserve"> Forebay</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FTR</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235.3</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Washington shore, Ft Rains</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BOG</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238.6</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Bridge of the Gods, at Cascade Locks</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WIN</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249.2</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Wind River, Wind River boat launch</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UPA</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246.6</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Oregon shore, across from Depot Road</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DPR</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246.6</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Washington shore, Depot Ro</w:t>
            </w:r>
            <w:r>
              <w:rPr>
                <w:snapToGrid w:val="0"/>
                <w:sz w:val="20"/>
              </w:rPr>
              <w:t>ad, downstream from Wind River</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LWD</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260.1</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Washington shore, downstream from Little White Salmon River</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LWS</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261</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Little White Salmon, inside at mouth of Drano Lake</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LWU</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261.3</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Washington shore upstream from Little White Salmon River</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WHD</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w:t>
            </w:r>
            <w:r>
              <w:rPr>
                <w:snapToGrid w:val="0"/>
                <w:sz w:val="20"/>
              </w:rPr>
              <w:t>70.3</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Washington shore, downstream from White Salmon River</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WHR</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270.9</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White Salmon River, landing at mouth</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WSU</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272.5</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White Salmon River, upstream from WHR</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HDR</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272.6</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Hood River</w:t>
            </w:r>
          </w:p>
        </w:tc>
      </w:tr>
      <w:tr w:rsidR="00000000">
        <w:tblPrEx>
          <w:tblCellMar>
            <w:top w:w="0" w:type="dxa"/>
            <w:bottom w:w="0" w:type="dxa"/>
          </w:tblCellMar>
        </w:tblPrEx>
        <w:trPr>
          <w:trHeight w:val="256"/>
        </w:trPr>
        <w:tc>
          <w:tcPr>
            <w:tcW w:w="994" w:type="dxa"/>
          </w:tcPr>
          <w:p w:rsidR="00000000" w:rsidRDefault="00D93457">
            <w:pPr>
              <w:jc w:val="center"/>
              <w:rPr>
                <w:snapToGrid w:val="0"/>
                <w:sz w:val="20"/>
              </w:rPr>
            </w:pPr>
            <w:r>
              <w:rPr>
                <w:snapToGrid w:val="0"/>
                <w:sz w:val="20"/>
              </w:rPr>
              <w:t>BMA</w:t>
            </w:r>
          </w:p>
        </w:tc>
        <w:tc>
          <w:tcPr>
            <w:tcW w:w="1248" w:type="dxa"/>
          </w:tcPr>
          <w:p w:rsidR="00000000" w:rsidRDefault="00D93457">
            <w:pPr>
              <w:jc w:val="center"/>
              <w:rPr>
                <w:snapToGrid w:val="0"/>
                <w:sz w:val="20"/>
              </w:rPr>
            </w:pPr>
            <w:r>
              <w:rPr>
                <w:snapToGrid w:val="0"/>
                <w:sz w:val="20"/>
              </w:rPr>
              <w:t>1</w:t>
            </w:r>
          </w:p>
        </w:tc>
        <w:tc>
          <w:tcPr>
            <w:tcW w:w="1024" w:type="dxa"/>
          </w:tcPr>
          <w:p w:rsidR="00000000" w:rsidRDefault="00D93457">
            <w:pPr>
              <w:jc w:val="center"/>
              <w:rPr>
                <w:snapToGrid w:val="0"/>
                <w:sz w:val="20"/>
              </w:rPr>
            </w:pPr>
            <w:r>
              <w:rPr>
                <w:snapToGrid w:val="0"/>
                <w:sz w:val="20"/>
              </w:rPr>
              <w:t>276.4</w:t>
            </w:r>
          </w:p>
        </w:tc>
        <w:tc>
          <w:tcPr>
            <w:tcW w:w="1216" w:type="dxa"/>
          </w:tcPr>
          <w:p w:rsidR="00000000" w:rsidRDefault="00D93457">
            <w:pPr>
              <w:jc w:val="center"/>
              <w:rPr>
                <w:snapToGrid w:val="0"/>
                <w:sz w:val="20"/>
              </w:rPr>
            </w:pPr>
            <w:r>
              <w:rPr>
                <w:snapToGrid w:val="0"/>
                <w:sz w:val="20"/>
              </w:rPr>
              <w:t>DSP</w:t>
            </w:r>
          </w:p>
        </w:tc>
        <w:tc>
          <w:tcPr>
            <w:tcW w:w="4958" w:type="dxa"/>
          </w:tcPr>
          <w:p w:rsidR="00000000" w:rsidRDefault="00D93457">
            <w:pPr>
              <w:rPr>
                <w:snapToGrid w:val="0"/>
                <w:sz w:val="20"/>
              </w:rPr>
            </w:pPr>
            <w:r>
              <w:rPr>
                <w:snapToGrid w:val="0"/>
                <w:sz w:val="20"/>
              </w:rPr>
              <w:t>Washington shore, Bingen Marina</w:t>
            </w:r>
          </w:p>
        </w:tc>
      </w:tr>
    </w:tbl>
    <w:p w:rsidR="00000000" w:rsidRDefault="00D93457">
      <w:pPr>
        <w:rPr>
          <w:sz w:val="20"/>
        </w:rPr>
      </w:pPr>
    </w:p>
    <w:p w:rsidR="00000000" w:rsidRDefault="00D93457">
      <w:pPr>
        <w:rPr>
          <w:sz w:val="20"/>
        </w:rPr>
      </w:pPr>
    </w:p>
    <w:p w:rsidR="00000000" w:rsidRDefault="00D93457">
      <w:pPr>
        <w:pStyle w:val="Heading3"/>
      </w:pPr>
      <w:r>
        <w:lastRenderedPageBreak/>
        <w:t xml:space="preserve">USGS </w:t>
      </w:r>
      <w:r>
        <w:t xml:space="preserve">Telemetry Site Maps </w:t>
      </w:r>
    </w:p>
    <w:p w:rsidR="00000000" w:rsidRDefault="00D93457">
      <w:pPr>
        <w:pStyle w:val="Heading5"/>
        <w:jc w:val="center"/>
        <w:rPr>
          <w:b w:val="0"/>
          <w:bCs/>
        </w:rPr>
      </w:pPr>
    </w:p>
    <w:p w:rsidR="00000000" w:rsidRDefault="00D93457">
      <w:pPr>
        <w:pStyle w:val="Heading5"/>
        <w:jc w:val="center"/>
        <w:rPr>
          <w:b w:val="0"/>
          <w:bCs/>
        </w:rPr>
      </w:pPr>
      <w:r>
        <w:rPr>
          <w:b w:val="0"/>
          <w:bCs/>
        </w:rPr>
        <w:t>The Dalles Dam</w:t>
      </w:r>
    </w:p>
    <w:p w:rsidR="00000000" w:rsidRDefault="00D93457">
      <w:pPr>
        <w:pStyle w:val="Heading1"/>
        <w:jc w:val="center"/>
        <w:rPr>
          <w:u w:val="single"/>
        </w:rPr>
      </w:pPr>
      <w:r>
        <w:object w:dxaOrig="7200" w:dyaOrig="5400">
          <v:shape id="_x0000_i1028" type="#_x0000_t75" style="width:423.15pt;height:258.8pt" o:ole="">
            <v:imagedata r:id="rId24" o:title="" croptop="3015f" cropbottom="8878f"/>
          </v:shape>
          <o:OLEObject Type="Embed" ProgID="PowerPoint.Slide.8" ShapeID="_x0000_i1028" DrawAspect="Content" ObjectID="_1396706738" r:id="rId25"/>
        </w:object>
      </w:r>
    </w:p>
    <w:bookmarkStart w:id="0" w:name="_MON_1097929860"/>
    <w:bookmarkEnd w:id="0"/>
    <w:p w:rsidR="00000000" w:rsidRDefault="00D93457">
      <w:r>
        <w:object w:dxaOrig="7245" w:dyaOrig="5435">
          <v:shape id="_x0000_i1029" type="#_x0000_t75" style="width:425.75pt;height:319.3pt" o:ole="">
            <v:imagedata r:id="rId26" o:title=""/>
          </v:shape>
          <o:OLEObject Type="Embed" ProgID="PowerPoint.Slide.8" ShapeID="_x0000_i1029" DrawAspect="Content" ObjectID="_1396706739" r:id="rId27"/>
        </w:object>
      </w:r>
    </w:p>
    <w:p w:rsidR="00000000" w:rsidRDefault="00D93457">
      <w:pPr>
        <w:pStyle w:val="Heading1"/>
        <w:jc w:val="center"/>
        <w:rPr>
          <w:u w:val="single"/>
        </w:rPr>
      </w:pPr>
    </w:p>
    <w:bookmarkStart w:id="1" w:name="_MON_1097928077"/>
    <w:bookmarkEnd w:id="1"/>
    <w:p w:rsidR="00000000" w:rsidRDefault="00D93457">
      <w:pPr>
        <w:pStyle w:val="Heading1"/>
        <w:jc w:val="center"/>
      </w:pPr>
      <w:r>
        <w:object w:dxaOrig="7245" w:dyaOrig="5435">
          <v:shape id="_x0000_i1030" type="#_x0000_t75" style="width:425.75pt;height:319.3pt" o:ole="">
            <v:imagedata r:id="rId28" o:title=""/>
          </v:shape>
          <o:OLEObject Type="Embed" ProgID="PowerPoint.Slide.8" ShapeID="_x0000_i1030" DrawAspect="Content" ObjectID="_1396706740" r:id="rId29"/>
        </w:object>
      </w:r>
    </w:p>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 w:rsidR="00000000" w:rsidRDefault="00D93457">
      <w:pPr>
        <w:pStyle w:val="Heading1"/>
        <w:jc w:val="center"/>
        <w:rPr>
          <w:u w:val="single"/>
        </w:rPr>
      </w:pPr>
      <w:r>
        <w:rPr>
          <w:u w:val="single"/>
        </w:rPr>
        <w:lastRenderedPageBreak/>
        <w:t>Appendix C</w:t>
      </w:r>
    </w:p>
    <w:p w:rsidR="00000000" w:rsidRDefault="003623AF">
      <w:pPr>
        <w:pStyle w:val="BodyText"/>
        <w:ind w:left="720" w:hanging="720"/>
        <w:jc w:val="center"/>
      </w:pPr>
      <w:r>
        <w:rPr>
          <w:noProof/>
        </w:rPr>
        <w:drawing>
          <wp:anchor distT="0" distB="0" distL="114300" distR="114300" simplePos="0" relativeHeight="251657728" behindDoc="0" locked="0" layoutInCell="1" allowOverlap="1">
            <wp:simplePos x="0" y="0"/>
            <wp:positionH relativeFrom="column">
              <wp:posOffset>23495</wp:posOffset>
            </wp:positionH>
            <wp:positionV relativeFrom="paragraph">
              <wp:posOffset>191770</wp:posOffset>
            </wp:positionV>
            <wp:extent cx="5461000" cy="6400800"/>
            <wp:effectExtent l="19050" t="0" r="6350" b="0"/>
            <wp:wrapTopAndBottom/>
            <wp:docPr id="21" name="Picture 21" descr="C:\WINDOWS\TEMP\~AUT00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WINDOWS\TEMP\~AUT0000.bmp"/>
                    <pic:cNvPicPr>
                      <a:picLocks noChangeAspect="1" noChangeArrowheads="1"/>
                    </pic:cNvPicPr>
                  </pic:nvPicPr>
                  <pic:blipFill>
                    <a:blip r:embed="rId30" cstate="print"/>
                    <a:srcRect l="7018" t="5374" b="3992"/>
                    <a:stretch>
                      <a:fillRect/>
                    </a:stretch>
                  </pic:blipFill>
                  <pic:spPr bwMode="auto">
                    <a:xfrm>
                      <a:off x="0" y="0"/>
                      <a:ext cx="5461000" cy="6400800"/>
                    </a:xfrm>
                    <a:prstGeom prst="rect">
                      <a:avLst/>
                    </a:prstGeom>
                    <a:noFill/>
                    <a:ln w="9525">
                      <a:noFill/>
                      <a:miter lim="800000"/>
                      <a:headEnd/>
                      <a:tailEnd/>
                    </a:ln>
                  </pic:spPr>
                </pic:pic>
              </a:graphicData>
            </a:graphic>
          </wp:anchor>
        </w:drawing>
      </w:r>
    </w:p>
    <w:p w:rsidR="00000000" w:rsidRDefault="00D93457">
      <w:pPr>
        <w:pStyle w:val="BodyText"/>
        <w:ind w:left="720" w:hanging="720"/>
      </w:pPr>
    </w:p>
    <w:p w:rsidR="00000000" w:rsidRDefault="00D93457">
      <w:pPr>
        <w:pStyle w:val="BodyText"/>
        <w:ind w:left="720" w:hanging="720"/>
      </w:pPr>
    </w:p>
    <w:p w:rsidR="00000000" w:rsidRDefault="00D93457">
      <w:pPr>
        <w:pStyle w:val="BodyText"/>
        <w:ind w:left="720" w:hanging="720"/>
        <w:jc w:val="center"/>
        <w:rPr>
          <w:b/>
          <w:bCs/>
          <w:sz w:val="28"/>
        </w:rPr>
      </w:pPr>
    </w:p>
    <w:p w:rsidR="00000000" w:rsidRDefault="00D93457">
      <w:pPr>
        <w:pStyle w:val="BodyText"/>
        <w:ind w:left="720" w:hanging="720"/>
        <w:jc w:val="center"/>
        <w:rPr>
          <w:b/>
          <w:bCs/>
          <w:sz w:val="28"/>
        </w:rPr>
      </w:pPr>
    </w:p>
    <w:p w:rsidR="00000000" w:rsidRDefault="00D93457">
      <w:pPr>
        <w:pStyle w:val="BodyText"/>
        <w:ind w:left="720" w:hanging="720"/>
        <w:jc w:val="center"/>
        <w:rPr>
          <w:b/>
          <w:bCs/>
          <w:sz w:val="28"/>
        </w:rPr>
      </w:pPr>
    </w:p>
    <w:p w:rsidR="00000000" w:rsidRDefault="00D93457">
      <w:pPr>
        <w:pStyle w:val="BodyText"/>
        <w:ind w:left="720" w:hanging="720"/>
        <w:jc w:val="center"/>
        <w:rPr>
          <w:b/>
          <w:bCs/>
          <w:sz w:val="28"/>
        </w:rPr>
      </w:pPr>
    </w:p>
    <w:p w:rsidR="00000000" w:rsidRDefault="00D93457">
      <w:pPr>
        <w:pStyle w:val="BodyText"/>
        <w:ind w:left="720" w:hanging="720"/>
        <w:jc w:val="center"/>
        <w:rPr>
          <w:b/>
          <w:bCs/>
          <w:sz w:val="28"/>
        </w:rPr>
      </w:pPr>
    </w:p>
    <w:p w:rsidR="00000000" w:rsidRDefault="00D93457">
      <w:pPr>
        <w:pStyle w:val="BodyText"/>
        <w:ind w:left="720" w:hanging="720"/>
        <w:jc w:val="center"/>
        <w:rPr>
          <w:b/>
          <w:bCs/>
          <w:sz w:val="28"/>
          <w:u w:val="single"/>
        </w:rPr>
      </w:pPr>
      <w:r>
        <w:rPr>
          <w:b/>
          <w:bCs/>
          <w:sz w:val="28"/>
          <w:u w:val="single"/>
        </w:rPr>
        <w:lastRenderedPageBreak/>
        <w:t>Appendix D</w:t>
      </w:r>
    </w:p>
    <w:p w:rsidR="00000000" w:rsidRDefault="00D93457">
      <w:pPr>
        <w:pStyle w:val="BodyText"/>
        <w:ind w:left="720" w:hanging="720"/>
        <w:jc w:val="center"/>
        <w:rPr>
          <w:b/>
          <w:bCs/>
        </w:rPr>
      </w:pPr>
    </w:p>
    <w:p w:rsidR="00000000" w:rsidRDefault="00D93457">
      <w:pPr>
        <w:pStyle w:val="BodyText"/>
        <w:ind w:left="720" w:hanging="720"/>
        <w:jc w:val="center"/>
        <w:rPr>
          <w:b/>
          <w:bCs/>
          <w:sz w:val="28"/>
        </w:rPr>
      </w:pPr>
      <w:r>
        <w:rPr>
          <w:b/>
          <w:bCs/>
          <w:sz w:val="28"/>
        </w:rPr>
        <w:t>Tag Retention Test Results</w:t>
      </w:r>
    </w:p>
    <w:p w:rsidR="00000000" w:rsidRDefault="00D93457">
      <w:pPr>
        <w:pStyle w:val="BodyText"/>
        <w:ind w:left="720" w:hanging="720"/>
        <w:jc w:val="center"/>
        <w:rPr>
          <w:b/>
          <w:bCs/>
        </w:rPr>
      </w:pPr>
    </w:p>
    <w:p w:rsidR="00000000" w:rsidRDefault="00D93457">
      <w:r>
        <w:t xml:space="preserve">The number of </w:t>
      </w:r>
      <w:proofErr w:type="gramStart"/>
      <w:r>
        <w:t>days</w:t>
      </w:r>
      <w:proofErr w:type="gramEnd"/>
      <w:r>
        <w:t xml:space="preserve"> radio tags remained a</w:t>
      </w:r>
      <w:r>
        <w:t xml:space="preserve">ffixed to kelts held in fresh water tanks at the Bonneville PH II SMF.  </w:t>
      </w:r>
    </w:p>
    <w:p w:rsidR="00000000" w:rsidRDefault="00D93457">
      <w:pPr>
        <w:pStyle w:val="IndexHeading"/>
        <w:rPr>
          <w:rFonts w:ascii="Times New Roman" w:hAnsi="Times New Roman"/>
        </w:rPr>
      </w:pPr>
    </w:p>
    <w:tbl>
      <w:tblPr>
        <w:tblW w:w="8320" w:type="dxa"/>
        <w:tblInd w:w="720" w:type="dxa"/>
        <w:tblCellMar>
          <w:left w:w="0" w:type="dxa"/>
          <w:right w:w="0" w:type="dxa"/>
        </w:tblCellMar>
        <w:tblLook w:val="0000"/>
      </w:tblPr>
      <w:tblGrid>
        <w:gridCol w:w="7514"/>
        <w:gridCol w:w="1820"/>
        <w:gridCol w:w="1340"/>
        <w:gridCol w:w="960"/>
        <w:gridCol w:w="1320"/>
        <w:gridCol w:w="960"/>
        <w:gridCol w:w="960"/>
      </w:tblGrid>
      <w:tr w:rsidR="00000000">
        <w:trPr>
          <w:trHeight w:val="255"/>
        </w:trPr>
        <w:tc>
          <w:tcPr>
            <w:tcW w:w="960" w:type="dxa"/>
            <w:tcBorders>
              <w:top w:val="nil"/>
              <w:left w:val="nil"/>
              <w:right w:val="nil"/>
            </w:tcBorders>
            <w:noWrap/>
            <w:tcMar>
              <w:top w:w="17" w:type="dxa"/>
              <w:left w:w="17" w:type="dxa"/>
              <w:bottom w:w="0" w:type="dxa"/>
              <w:right w:w="17" w:type="dxa"/>
            </w:tcMar>
            <w:vAlign w:val="bottom"/>
          </w:tcPr>
          <w:tbl>
            <w:tblPr>
              <w:tblW w:w="7480" w:type="dxa"/>
              <w:tblCellMar>
                <w:left w:w="0" w:type="dxa"/>
                <w:right w:w="0" w:type="dxa"/>
              </w:tblCellMar>
              <w:tblLook w:val="0000"/>
            </w:tblPr>
            <w:tblGrid>
              <w:gridCol w:w="960"/>
              <w:gridCol w:w="1900"/>
              <w:gridCol w:w="1160"/>
              <w:gridCol w:w="1540"/>
              <w:gridCol w:w="960"/>
              <w:gridCol w:w="960"/>
            </w:tblGrid>
            <w:tr w:rsidR="00000000">
              <w:trPr>
                <w:trHeight w:val="255"/>
              </w:trPr>
              <w:tc>
                <w:tcPr>
                  <w:tcW w:w="960" w:type="dxa"/>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Tag Date</w:t>
                  </w:r>
                </w:p>
              </w:tc>
              <w:tc>
                <w:tcPr>
                  <w:tcW w:w="1900" w:type="dxa"/>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 xml:space="preserve">PIT tag </w:t>
                  </w:r>
                </w:p>
              </w:tc>
              <w:tc>
                <w:tcPr>
                  <w:tcW w:w="1160" w:type="dxa"/>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Date</w:t>
                  </w:r>
                </w:p>
              </w:tc>
              <w:tc>
                <w:tcPr>
                  <w:tcW w:w="1540" w:type="dxa"/>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Disposition</w:t>
                  </w:r>
                </w:p>
              </w:tc>
              <w:tc>
                <w:tcPr>
                  <w:tcW w:w="960" w:type="dxa"/>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 xml:space="preserve">Tag </w:t>
                  </w:r>
                </w:p>
              </w:tc>
              <w:tc>
                <w:tcPr>
                  <w:tcW w:w="960" w:type="dxa"/>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 xml:space="preserve"># of days </w:t>
                  </w:r>
                </w:p>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3D9.1BF10D1B87</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13-May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3D9.1BF10CB452</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06-Jun</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 xml:space="preserve">LIVE </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OFF</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42</w:t>
                  </w: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3D9.1BF10D054B</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29-May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 xml:space="preserve">LIVE </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OFF</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34</w:t>
                  </w:r>
                </w:p>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w:t>
                  </w:r>
                  <w:r>
                    <w:rPr>
                      <w:sz w:val="20"/>
                      <w:szCs w:val="20"/>
                    </w:rPr>
                    <w:t>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3D9.1BF10D51A7</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30-Apr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3D9.1BF10CA1F1</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02-May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3D9.1BF10CF68A</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07-May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3D9.1BF10CAF18</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07-May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3D9.1BF10D96DE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10-Jun</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 xml:space="preserve">LIVE </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OFF</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46</w:t>
                  </w:r>
                </w:p>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3D9.1BF10D780F</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21-May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3D9.1BF1OCCC20</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13-May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25-Apr</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3D9.1BF10D742F</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06-May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16-May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3D9.1BF10CBDF2</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21-May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16-May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3D9.1BF10D37B1</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29-May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16-May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3D9.1BF10D7387</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29-May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16-May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3D9.1BF10D6AAB</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25-May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16-May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3D9.1BF10CB413</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29-May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r w:rsidR="00000000">
              <w:trPr>
                <w:trHeight w:val="31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center"/>
                    <w:rPr>
                      <w:sz w:val="20"/>
                      <w:szCs w:val="20"/>
                    </w:rPr>
                  </w:pPr>
                  <w:r>
                    <w:rPr>
                      <w:sz w:val="20"/>
                      <w:szCs w:val="20"/>
                    </w:rPr>
                    <w:t>16-May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3D9.1BF10CA978</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30-May</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MORT</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sz w:val="20"/>
                      <w:szCs w:val="20"/>
                    </w:rPr>
                  </w:pPr>
                  <w:r>
                    <w:rPr>
                      <w:sz w:val="20"/>
                      <w:szCs w:val="20"/>
                    </w:rPr>
                    <w:t>SECURE</w:t>
                  </w: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tc>
            </w:tr>
          </w:tbl>
          <w:p w:rsidR="00000000" w:rsidRDefault="00D93457">
            <w:pPr>
              <w:rPr>
                <w:rFonts w:ascii="Arial" w:hAnsi="Arial" w:cs="Arial"/>
                <w:sz w:val="20"/>
                <w:szCs w:val="20"/>
              </w:rPr>
            </w:pPr>
          </w:p>
        </w:tc>
        <w:tc>
          <w:tcPr>
            <w:tcW w:w="1820" w:type="dxa"/>
            <w:tcBorders>
              <w:top w:val="nil"/>
              <w:left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1340" w:type="dxa"/>
            <w:tcBorders>
              <w:top w:val="nil"/>
              <w:left w:val="nil"/>
              <w:right w:val="nil"/>
            </w:tcBorders>
            <w:noWrap/>
            <w:tcMar>
              <w:top w:w="17" w:type="dxa"/>
              <w:left w:w="17" w:type="dxa"/>
              <w:bottom w:w="0" w:type="dxa"/>
              <w:right w:w="17" w:type="dxa"/>
            </w:tcMar>
            <w:vAlign w:val="bottom"/>
          </w:tcPr>
          <w:p w:rsidR="00000000" w:rsidRDefault="00D93457">
            <w:pPr>
              <w:pStyle w:val="CommentText"/>
              <w:rPr>
                <w:rFonts w:ascii="Arial" w:hAnsi="Arial" w:cs="Arial"/>
              </w:rPr>
            </w:pPr>
          </w:p>
        </w:tc>
        <w:tc>
          <w:tcPr>
            <w:tcW w:w="960" w:type="dxa"/>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1320" w:type="dxa"/>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960" w:type="dxa"/>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960" w:type="dxa"/>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r w:rsidR="00000000">
        <w:trPr>
          <w:trHeight w:val="255"/>
        </w:trPr>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jc w:val="right"/>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000000" w:rsidRDefault="00D93457">
            <w:pPr>
              <w:rPr>
                <w:rFonts w:ascii="Arial" w:hAnsi="Arial" w:cs="Arial"/>
                <w:sz w:val="20"/>
                <w:szCs w:val="20"/>
              </w:rPr>
            </w:pPr>
          </w:p>
        </w:tc>
      </w:tr>
    </w:tbl>
    <w:p w:rsidR="00000000" w:rsidRDefault="00D93457">
      <w:pPr>
        <w:pStyle w:val="BodyText"/>
        <w:ind w:left="720" w:hanging="720"/>
        <w:jc w:val="center"/>
        <w:rPr>
          <w:b/>
          <w:bCs/>
          <w:sz w:val="28"/>
        </w:rPr>
      </w:pPr>
    </w:p>
    <w:p w:rsidR="00000000" w:rsidRDefault="00D93457">
      <w:pPr>
        <w:pStyle w:val="BodyText"/>
        <w:ind w:left="720" w:hanging="720"/>
        <w:jc w:val="center"/>
        <w:rPr>
          <w:b/>
          <w:bCs/>
          <w:sz w:val="28"/>
        </w:rPr>
      </w:pPr>
      <w:r>
        <w:rPr>
          <w:b/>
          <w:bCs/>
          <w:sz w:val="28"/>
        </w:rPr>
        <w:lastRenderedPageBreak/>
        <w:t>Appendix E – Occlusion</w:t>
      </w:r>
      <w:r>
        <w:rPr>
          <w:b/>
          <w:bCs/>
          <w:sz w:val="28"/>
        </w:rPr>
        <w:t xml:space="preserve"> Test Schedule at The Dalles</w:t>
      </w:r>
    </w:p>
    <w:tbl>
      <w:tblPr>
        <w:tblW w:w="9180" w:type="dxa"/>
        <w:tblCellMar>
          <w:left w:w="0" w:type="dxa"/>
          <w:right w:w="0" w:type="dxa"/>
        </w:tblCellMar>
        <w:tblLook w:val="0000"/>
      </w:tblPr>
      <w:tblGrid>
        <w:gridCol w:w="840"/>
        <w:gridCol w:w="600"/>
        <w:gridCol w:w="660"/>
        <w:gridCol w:w="1700"/>
        <w:gridCol w:w="620"/>
        <w:gridCol w:w="840"/>
        <w:gridCol w:w="600"/>
        <w:gridCol w:w="720"/>
        <w:gridCol w:w="1980"/>
        <w:gridCol w:w="620"/>
      </w:tblGrid>
      <w:tr w:rsidR="00000000">
        <w:trPr>
          <w:trHeight w:val="270"/>
        </w:trPr>
        <w:tc>
          <w:tcPr>
            <w:tcW w:w="840" w:type="dxa"/>
            <w:tcBorders>
              <w:top w:val="nil"/>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t xml:space="preserve">                                                                        </w:t>
            </w:r>
          </w:p>
        </w:tc>
        <w:tc>
          <w:tcPr>
            <w:tcW w:w="600" w:type="dxa"/>
            <w:tcBorders>
              <w:top w:val="nil"/>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660" w:type="dxa"/>
            <w:tcBorders>
              <w:top w:val="nil"/>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1700" w:type="dxa"/>
            <w:tcBorders>
              <w:top w:val="nil"/>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620" w:type="dxa"/>
            <w:tcBorders>
              <w:top w:val="nil"/>
              <w:left w:val="nil"/>
              <w:right w:val="nil"/>
            </w:tcBorders>
            <w:noWrap/>
            <w:tcMar>
              <w:top w:w="15" w:type="dxa"/>
              <w:left w:w="15" w:type="dxa"/>
              <w:bottom w:w="0" w:type="dxa"/>
              <w:right w:w="15" w:type="dxa"/>
            </w:tcMar>
            <w:vAlign w:val="bottom"/>
          </w:tcPr>
          <w:p w:rsidR="00000000" w:rsidRDefault="00D93457">
            <w:pPr>
              <w:pStyle w:val="Header"/>
              <w:tabs>
                <w:tab w:val="clear" w:pos="4320"/>
                <w:tab w:val="clear" w:pos="8640"/>
              </w:tabs>
              <w:rPr>
                <w:rFonts w:ascii="Arial" w:hAnsi="Arial" w:cs="Arial"/>
                <w:szCs w:val="20"/>
              </w:rPr>
            </w:pPr>
          </w:p>
        </w:tc>
        <w:tc>
          <w:tcPr>
            <w:tcW w:w="840" w:type="dxa"/>
            <w:tcBorders>
              <w:top w:val="nil"/>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600" w:type="dxa"/>
            <w:tcBorders>
              <w:top w:val="nil"/>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720" w:type="dxa"/>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 </w:t>
            </w:r>
          </w:p>
        </w:tc>
        <w:tc>
          <w:tcPr>
            <w:tcW w:w="1980" w:type="dxa"/>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620" w:type="dxa"/>
            <w:tcBorders>
              <w:top w:val="nil"/>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r>
      <w:tr w:rsidR="00000000">
        <w:trPr>
          <w:trHeight w:val="255"/>
        </w:trPr>
        <w:tc>
          <w:tcPr>
            <w:tcW w:w="0" w:type="auto"/>
            <w:tcBorders>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0" w:type="auto"/>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Julian</w:t>
            </w:r>
          </w:p>
        </w:tc>
        <w:tc>
          <w:tcPr>
            <w:tcW w:w="0" w:type="auto"/>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0" w:type="auto"/>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 </w:t>
            </w:r>
          </w:p>
        </w:tc>
        <w:tc>
          <w:tcPr>
            <w:tcW w:w="0" w:type="auto"/>
            <w:tcBorders>
              <w:lef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Study</w:t>
            </w:r>
          </w:p>
        </w:tc>
        <w:tc>
          <w:tcPr>
            <w:tcW w:w="0" w:type="auto"/>
            <w:tcBorders>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0" w:type="auto"/>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Julian</w:t>
            </w:r>
          </w:p>
        </w:tc>
        <w:tc>
          <w:tcPr>
            <w:tcW w:w="0" w:type="auto"/>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p>
        </w:tc>
        <w:tc>
          <w:tcPr>
            <w:tcW w:w="0" w:type="auto"/>
            <w:tcBorders>
              <w:left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 </w:t>
            </w:r>
          </w:p>
        </w:tc>
        <w:tc>
          <w:tcPr>
            <w:tcW w:w="0" w:type="auto"/>
            <w:tcBorders>
              <w:lef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Study</w:t>
            </w:r>
          </w:p>
        </w:tc>
      </w:tr>
      <w:tr w:rsidR="00000000">
        <w:trPr>
          <w:trHeight w:val="270"/>
        </w:trPr>
        <w:tc>
          <w:tcPr>
            <w:tcW w:w="0" w:type="auto"/>
            <w:tcBorders>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Date</w:t>
            </w:r>
          </w:p>
        </w:tc>
        <w:tc>
          <w:tcPr>
            <w:tcW w:w="0" w:type="auto"/>
            <w:tcBorders>
              <w:left w:val="nil"/>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Day</w:t>
            </w:r>
          </w:p>
        </w:tc>
        <w:tc>
          <w:tcPr>
            <w:tcW w:w="0" w:type="auto"/>
            <w:tcBorders>
              <w:left w:val="nil"/>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Day</w:t>
            </w:r>
          </w:p>
        </w:tc>
        <w:tc>
          <w:tcPr>
            <w:tcW w:w="0" w:type="auto"/>
            <w:tcBorders>
              <w:left w:val="nil"/>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Treatment</w:t>
            </w:r>
          </w:p>
        </w:tc>
        <w:tc>
          <w:tcPr>
            <w:tcW w:w="0" w:type="auto"/>
            <w:tcBorders>
              <w:left w:val="nil"/>
              <w:bottom w:val="single" w:sz="12" w:space="0" w:color="auto"/>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Day</w:t>
            </w:r>
          </w:p>
        </w:tc>
        <w:tc>
          <w:tcPr>
            <w:tcW w:w="0" w:type="auto"/>
            <w:tcBorders>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Date</w:t>
            </w:r>
          </w:p>
        </w:tc>
        <w:tc>
          <w:tcPr>
            <w:tcW w:w="0" w:type="auto"/>
            <w:tcBorders>
              <w:left w:val="nil"/>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Day</w:t>
            </w:r>
          </w:p>
        </w:tc>
        <w:tc>
          <w:tcPr>
            <w:tcW w:w="0" w:type="auto"/>
            <w:tcBorders>
              <w:left w:val="nil"/>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Day</w:t>
            </w:r>
          </w:p>
        </w:tc>
        <w:tc>
          <w:tcPr>
            <w:tcW w:w="0" w:type="auto"/>
            <w:tcBorders>
              <w:left w:val="nil"/>
              <w:bottom w:val="single" w:sz="12"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Treatment</w:t>
            </w:r>
          </w:p>
        </w:tc>
        <w:tc>
          <w:tcPr>
            <w:tcW w:w="0" w:type="auto"/>
            <w:tcBorders>
              <w:left w:val="nil"/>
              <w:bottom w:val="single" w:sz="12" w:space="0" w:color="auto"/>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Day</w:t>
            </w:r>
          </w:p>
        </w:tc>
      </w:tr>
      <w:tr w:rsidR="00000000">
        <w:trPr>
          <w:trHeight w:val="255"/>
        </w:trPr>
        <w:tc>
          <w:tcPr>
            <w:tcW w:w="0" w:type="auto"/>
            <w:tcBorders>
              <w:top w:val="single" w:sz="12" w:space="0" w:color="auto"/>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4/20</w:t>
            </w:r>
          </w:p>
        </w:tc>
        <w:tc>
          <w:tcPr>
            <w:tcW w:w="0" w:type="auto"/>
            <w:tcBorders>
              <w:top w:val="single" w:sz="12" w:space="0" w:color="auto"/>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110</w:t>
            </w:r>
          </w:p>
        </w:tc>
        <w:tc>
          <w:tcPr>
            <w:tcW w:w="0" w:type="auto"/>
            <w:tcBorders>
              <w:top w:val="single" w:sz="12" w:space="0" w:color="auto"/>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single" w:sz="12" w:space="0" w:color="auto"/>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single" w:sz="12" w:space="0" w:color="auto"/>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w:t>
            </w:r>
          </w:p>
        </w:tc>
        <w:tc>
          <w:tcPr>
            <w:tcW w:w="0" w:type="auto"/>
            <w:tcBorders>
              <w:top w:val="single" w:sz="12" w:space="0" w:color="auto"/>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w:t>
            </w:r>
          </w:p>
        </w:tc>
        <w:tc>
          <w:tcPr>
            <w:tcW w:w="0" w:type="auto"/>
            <w:tcBorders>
              <w:top w:val="single" w:sz="12" w:space="0" w:color="auto"/>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152</w:t>
            </w:r>
          </w:p>
        </w:tc>
        <w:tc>
          <w:tcPr>
            <w:tcW w:w="0" w:type="auto"/>
            <w:tcBorders>
              <w:top w:val="single" w:sz="12" w:space="0" w:color="auto"/>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single" w:sz="12" w:space="0" w:color="auto"/>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single" w:sz="12" w:space="0" w:color="auto"/>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43</w:t>
            </w:r>
          </w:p>
        </w:tc>
      </w:tr>
      <w:tr w:rsidR="0000000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44</w:t>
            </w:r>
          </w:p>
        </w:tc>
      </w:tr>
      <w:tr w:rsidR="00000000">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4/22</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112</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154</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45</w:t>
            </w:r>
          </w:p>
        </w:tc>
      </w:tr>
      <w:tr w:rsidR="0000000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 xml:space="preserve">Trans MU4-3 unocc </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46</w:t>
            </w:r>
          </w:p>
        </w:tc>
      </w:tr>
      <w:tr w:rsidR="00000000">
        <w:trPr>
          <w:trHeight w:val="255"/>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  ""</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47</w:t>
            </w:r>
          </w:p>
        </w:tc>
      </w:tr>
      <w:tr w:rsidR="00000000">
        <w:trPr>
          <w:trHeight w:val="27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4/25</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115</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6/6</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157</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48</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49</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50</w:t>
            </w:r>
          </w:p>
        </w:tc>
      </w:tr>
      <w:tr w:rsidR="00000000">
        <w:trPr>
          <w:trHeight w:val="257"/>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4/28</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118</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9</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6/9</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4/30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w:t>
            </w:r>
            <w:r>
              <w:rPr>
                <w:rFonts w:ascii="Arial" w:hAnsi="Arial" w:cs="Arial"/>
                <w:sz w:val="20"/>
                <w:szCs w:val="20"/>
              </w:rPr>
              <w:t>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53</w:t>
            </w:r>
          </w:p>
        </w:tc>
      </w:tr>
      <w:tr w:rsidR="00000000">
        <w:trPr>
          <w:trHeight w:val="257"/>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121</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6/12</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163</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54</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55</w:t>
            </w:r>
          </w:p>
        </w:tc>
      </w:tr>
      <w:tr w:rsidR="00000000">
        <w:trPr>
          <w:trHeight w:val="258"/>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56</w:t>
            </w:r>
          </w:p>
        </w:tc>
      </w:tr>
      <w:tr w:rsidR="00000000">
        <w:trPr>
          <w:trHeight w:val="257"/>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5/4</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124</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6/15</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166</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57</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58</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59</w:t>
            </w:r>
          </w:p>
        </w:tc>
      </w:tr>
      <w:tr w:rsidR="00000000">
        <w:trPr>
          <w:trHeight w:val="257"/>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5/7</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127</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6/18</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169</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60</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61</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129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 MU 4-3 out</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w:t>
            </w:r>
          </w:p>
        </w:tc>
      </w:tr>
      <w:tr w:rsidR="00000000">
        <w:trPr>
          <w:trHeight w:val="258"/>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21</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6/21</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w:t>
            </w:r>
            <w:r>
              <w:rPr>
                <w:rFonts w:ascii="Arial" w:hAnsi="Arial" w:cs="Arial"/>
                <w:sz w:val="20"/>
                <w:szCs w:val="20"/>
              </w:rPr>
              <w:t>72</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63</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64</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65</w:t>
            </w:r>
          </w:p>
        </w:tc>
      </w:tr>
      <w:tr w:rsidR="00000000">
        <w:trPr>
          <w:trHeight w:val="257"/>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5/13</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133</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24</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6/24</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175</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66</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   MU 3-3 Un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67</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w:t>
            </w:r>
            <w:r>
              <w:rPr>
                <w:rFonts w:ascii="Arial" w:hAnsi="Arial" w:cs="Arial"/>
                <w:sz w:val="20"/>
                <w:szCs w:val="20"/>
              </w:rPr>
              <w:t>uded  ""</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68</w:t>
            </w:r>
          </w:p>
        </w:tc>
      </w:tr>
      <w:tr w:rsidR="00000000">
        <w:trPr>
          <w:trHeight w:val="257"/>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5/16</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136</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27</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6/27</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178</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69</w:t>
            </w:r>
          </w:p>
        </w:tc>
      </w:tr>
      <w:tr w:rsidR="00000000">
        <w:trPr>
          <w:trHeight w:val="258"/>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179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70</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29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6/29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71</w:t>
            </w:r>
          </w:p>
        </w:tc>
      </w:tr>
      <w:tr w:rsidR="00000000">
        <w:trPr>
          <w:trHeight w:val="257"/>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5/19</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139</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30</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6/30</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181</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72</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73</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74</w:t>
            </w:r>
          </w:p>
        </w:tc>
      </w:tr>
      <w:tr w:rsidR="00000000">
        <w:trPr>
          <w:trHeight w:val="257"/>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5/22</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142</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184</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75</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143</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76</w:t>
            </w:r>
          </w:p>
        </w:tc>
      </w:tr>
      <w:tr w:rsidR="00000000">
        <w:trPr>
          <w:trHeight w:val="258"/>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144</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7/5</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77</w:t>
            </w:r>
          </w:p>
        </w:tc>
      </w:tr>
      <w:tr w:rsidR="00000000">
        <w:trPr>
          <w:trHeight w:val="257"/>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w:t>
            </w:r>
            <w:r>
              <w:rPr>
                <w:rFonts w:ascii="Arial" w:hAnsi="Arial" w:cs="Arial"/>
                <w:sz w:val="20"/>
                <w:szCs w:val="20"/>
              </w:rPr>
              <w:t>25</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145</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36</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7/6</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187</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Fri</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78</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146</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Sat</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79</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147</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7/8</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189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Sun</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80</w:t>
            </w:r>
          </w:p>
        </w:tc>
      </w:tr>
      <w:tr w:rsidR="00000000">
        <w:trPr>
          <w:trHeight w:val="257"/>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5/28</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148</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Unoccluded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39</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7/9</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190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Mon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81</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5/29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149</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Transition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7/10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191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Tue</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82</w:t>
            </w:r>
          </w:p>
        </w:tc>
      </w:tr>
      <w:tr w:rsidR="00000000">
        <w:trPr>
          <w:trHeight w:val="257"/>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5/30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150</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7/11</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192</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Wed</w:t>
            </w:r>
          </w:p>
        </w:tc>
        <w:tc>
          <w:tcPr>
            <w:tcW w:w="0" w:type="auto"/>
            <w:tcBorders>
              <w:top w:val="nil"/>
              <w:left w:val="nil"/>
              <w:bottom w:val="nil"/>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83</w:t>
            </w:r>
          </w:p>
        </w:tc>
      </w:tr>
      <w:tr w:rsidR="00000000">
        <w:trPr>
          <w:trHeight w:val="258"/>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5/31</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151</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42</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7/12</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193</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Thu</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000000" w:rsidRDefault="00D93457">
            <w:pPr>
              <w:rPr>
                <w:rFonts w:ascii="Arial" w:hAnsi="Arial" w:cs="Arial"/>
                <w:sz w:val="20"/>
                <w:szCs w:val="20"/>
              </w:rPr>
            </w:pPr>
            <w:r>
              <w:rPr>
                <w:rFonts w:ascii="Arial" w:hAnsi="Arial" w:cs="Arial"/>
                <w:sz w:val="20"/>
                <w:szCs w:val="20"/>
              </w:rPr>
              <w:t>Occluded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000000" w:rsidRDefault="00D93457">
            <w:pPr>
              <w:jc w:val="right"/>
              <w:rPr>
                <w:rFonts w:ascii="Arial" w:hAnsi="Arial" w:cs="Arial"/>
                <w:sz w:val="20"/>
                <w:szCs w:val="20"/>
              </w:rPr>
            </w:pPr>
            <w:r>
              <w:rPr>
                <w:rFonts w:ascii="Arial" w:hAnsi="Arial" w:cs="Arial"/>
                <w:sz w:val="20"/>
                <w:szCs w:val="20"/>
              </w:rPr>
              <w:t>84</w:t>
            </w:r>
          </w:p>
        </w:tc>
      </w:tr>
    </w:tbl>
    <w:p w:rsidR="00D93457" w:rsidRDefault="00D93457">
      <w:pPr>
        <w:pStyle w:val="BodyText"/>
        <w:ind w:left="720" w:hanging="720"/>
      </w:pPr>
    </w:p>
    <w:sectPr w:rsidR="00D93457">
      <w:footerReference w:type="default" r:id="rId31"/>
      <w:footerReference w:type="first" r:id="rId32"/>
      <w:type w:val="nextColumn"/>
      <w:pgSz w:w="12240" w:h="15840" w:code="1"/>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457" w:rsidRDefault="00D93457">
      <w:r>
        <w:separator/>
      </w:r>
    </w:p>
  </w:endnote>
  <w:endnote w:type="continuationSeparator" w:id="0">
    <w:p w:rsidR="00D93457" w:rsidRDefault="00D934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D934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Footer"/>
      <w:framePr w:wrap="around" w:vAnchor="text" w:hAnchor="margin" w:xAlign="right" w:y="1"/>
      <w:jc w:val="center"/>
      <w:rPr>
        <w:rStyle w:val="PageNumber"/>
      </w:rPr>
    </w:pPr>
  </w:p>
  <w:p w:rsidR="00000000" w:rsidRDefault="00D93457">
    <w:pPr>
      <w:pStyle w:val="Footer"/>
    </w:pPr>
    <w:r>
      <w:tab/>
    </w:r>
    <w:r>
      <w:rPr>
        <w:rStyle w:val="PageNumber"/>
      </w:rPr>
      <w:fldChar w:fldCharType="begin"/>
    </w:r>
    <w:r>
      <w:rPr>
        <w:rStyle w:val="PageNumber"/>
      </w:rPr>
      <w:instrText xml:space="preserve"> PAGE </w:instrText>
    </w:r>
    <w:r>
      <w:rPr>
        <w:rStyle w:val="PageNumber"/>
      </w:rPr>
      <w:fldChar w:fldCharType="separate"/>
    </w:r>
    <w:r w:rsidR="005531A5">
      <w:rPr>
        <w:rStyle w:val="PageNumber"/>
        <w:noProof/>
      </w:rPr>
      <w:t>ii</w:t>
    </w:r>
    <w:r>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531A5">
      <w:rPr>
        <w:rStyle w:val="PageNumber"/>
        <w:noProof/>
      </w:rPr>
      <w:t>i</w:t>
    </w:r>
    <w:r>
      <w:rPr>
        <w:rStyle w:val="PageNumber"/>
      </w:rPr>
      <w:fldChar w:fldCharType="end"/>
    </w:r>
    <w:r>
      <w:tab/>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Footer"/>
      <w:jc w:val="center"/>
    </w:pPr>
    <w:r>
      <w:rPr>
        <w:rStyle w:val="PageNumber"/>
      </w:rPr>
      <w:fldChar w:fldCharType="begin"/>
    </w:r>
    <w:r>
      <w:rPr>
        <w:rStyle w:val="PageNumber"/>
      </w:rPr>
      <w:instrText xml:space="preserve"> PAGE </w:instrText>
    </w:r>
    <w:r>
      <w:rPr>
        <w:rStyle w:val="PageNumber"/>
      </w:rPr>
      <w:fldChar w:fldCharType="separate"/>
    </w:r>
    <w:r w:rsidR="005531A5">
      <w:rPr>
        <w:rStyle w:val="PageNumber"/>
        <w:noProof/>
      </w:rPr>
      <w:t>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Footer"/>
      <w:jc w:val="center"/>
    </w:pPr>
    <w:r>
      <w:rPr>
        <w:rStyle w:val="PageNumber"/>
      </w:rPr>
      <w:fldChar w:fldCharType="begin"/>
    </w:r>
    <w:r>
      <w:rPr>
        <w:rStyle w:val="PageNumber"/>
      </w:rPr>
      <w:instrText xml:space="preserve"> PAGE </w:instrText>
    </w:r>
    <w:r>
      <w:rPr>
        <w:rStyle w:val="PageNumber"/>
      </w:rPr>
      <w:fldChar w:fldCharType="separate"/>
    </w:r>
    <w:r w:rsidR="005531A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457" w:rsidRDefault="00D93457">
      <w:r>
        <w:separator/>
      </w:r>
    </w:p>
  </w:footnote>
  <w:footnote w:type="continuationSeparator" w:id="0">
    <w:p w:rsidR="00D93457" w:rsidRDefault="00D93457">
      <w:r>
        <w:continuationSeparator/>
      </w:r>
    </w:p>
  </w:footnote>
  <w:footnote w:id="1">
    <w:p w:rsidR="00000000" w:rsidRDefault="00D93457">
      <w:pPr>
        <w:pStyle w:val="FootnoteText"/>
        <w:ind w:hanging="720"/>
      </w:pPr>
      <w:r>
        <w:rPr>
          <w:rStyle w:val="FootnoteReference"/>
        </w:rPr>
        <w:footnoteRef/>
      </w:r>
      <w:r>
        <w:t xml:space="preserve"> Criteria used to rate fish condition characteristics can be found in Appendix C.</w:t>
      </w:r>
    </w:p>
  </w:footnote>
  <w:footnote w:id="2">
    <w:p w:rsidR="00000000" w:rsidRDefault="00D93457">
      <w:pPr>
        <w:pStyle w:val="FootnoteText"/>
        <w:ind w:left="-720"/>
      </w:pPr>
      <w:r>
        <w:rPr>
          <w:rStyle w:val="FootnoteReference"/>
        </w:rPr>
        <w:footnoteRef/>
      </w:r>
      <w:r>
        <w:t xml:space="preserve"> As random sampling did not occur, we are unable to provide confiden</w:t>
      </w:r>
      <w:r>
        <w:t>ce intervals for abundance estimates.</w:t>
      </w:r>
    </w:p>
  </w:footnote>
  <w:footnote w:id="3">
    <w:p w:rsidR="00000000" w:rsidRDefault="00D93457">
      <w:pPr>
        <w:pStyle w:val="FootnoteText"/>
        <w:ind w:left="-720"/>
        <w:jc w:val="both"/>
      </w:pPr>
      <w:r>
        <w:rPr>
          <w:rStyle w:val="FootnoteReference"/>
        </w:rPr>
        <w:footnoteRef/>
      </w:r>
      <w:r>
        <w:t>Complete passage histories are defined as kelts that were contacted in their passage forebay, and subsequently contacted in juvenile bypass systems, tailrace areas, at exit stations, or in combinations of these sites.</w:t>
      </w:r>
      <w:r>
        <w:t xml:space="preserve">  Note: The short duration of the </w:t>
      </w:r>
      <w:proofErr w:type="gramStart"/>
      <w:r>
        <w:t>kelt</w:t>
      </w:r>
      <w:proofErr w:type="gramEnd"/>
      <w:r>
        <w:t xml:space="preserve"> passage season prompted kelt releases prior to underwater monitoring at TDA.  </w:t>
      </w:r>
    </w:p>
    <w:p w:rsidR="00000000" w:rsidRDefault="00D93457">
      <w:pPr>
        <w:pStyle w:val="FootnoteText"/>
        <w:ind w:left="-720"/>
        <w:jc w:val="center"/>
      </w:pPr>
    </w:p>
  </w:footnote>
  <w:footnote w:id="4">
    <w:p w:rsidR="00000000" w:rsidRDefault="00D93457">
      <w:pPr>
        <w:pStyle w:val="FootnoteText"/>
      </w:pPr>
      <w:r>
        <w:rPr>
          <w:rStyle w:val="FootnoteReference"/>
        </w:rPr>
        <w:footnoteRef/>
      </w:r>
      <w:r>
        <w:t xml:space="preserve"> PH I, has 12” orifices</w:t>
      </w:r>
      <w:proofErr w:type="gramStart"/>
      <w:r>
        <w:t>;</w:t>
      </w:r>
      <w:proofErr w:type="gramEnd"/>
      <w:r>
        <w:t xml:space="preserve"> PH II, 12.5” orifices (Units 11-14 two orifices per gatewell, one in other units).</w:t>
      </w:r>
    </w:p>
  </w:footnote>
  <w:footnote w:id="5">
    <w:p w:rsidR="00000000" w:rsidRDefault="00D93457">
      <w:pPr>
        <w:pStyle w:val="FootnoteText"/>
      </w:pPr>
      <w:r>
        <w:rPr>
          <w:rStyle w:val="FootnoteReference"/>
        </w:rPr>
        <w:footnoteRef/>
      </w:r>
      <w:r>
        <w:t xml:space="preserve"> </w:t>
      </w:r>
      <w:r>
        <w:rPr>
          <w:sz w:val="22"/>
        </w:rPr>
        <w:t>Use of trade name does not</w:t>
      </w:r>
      <w:r>
        <w:rPr>
          <w:sz w:val="22"/>
        </w:rPr>
        <w:t xml:space="preserve"> imply endorsement by the USACE.</w:t>
      </w:r>
    </w:p>
  </w:footnote>
  <w:footnote w:id="6">
    <w:p w:rsidR="00000000" w:rsidRDefault="00D93457">
      <w:pPr>
        <w:pStyle w:val="FootnoteText"/>
      </w:pPr>
      <w:r>
        <w:rPr>
          <w:rStyle w:val="FootnoteReference"/>
        </w:rPr>
        <w:footnoteRef/>
      </w:r>
      <w:r>
        <w:t xml:space="preserve"> Note: Metrics used to describe KGE and KSLPE reflect that kelts exclusively used screens systems or sluice (not both) when passing through powerhouses with concurrent systems (e.g., BON PH I and PH II)</w:t>
      </w:r>
    </w:p>
  </w:footnote>
  <w:footnote w:id="7">
    <w:p w:rsidR="00000000" w:rsidRDefault="00D93457">
      <w:pPr>
        <w:pStyle w:val="FootnoteText"/>
      </w:pPr>
      <w:r>
        <w:rPr>
          <w:rStyle w:val="FootnoteReference"/>
        </w:rPr>
        <w:footnoteRef/>
      </w:r>
      <w:r>
        <w:t xml:space="preserve"> Except during the</w:t>
      </w:r>
      <w:r>
        <w:t xml:space="preserve"> three 5 h blocks, observed May 24-25.</w:t>
      </w:r>
    </w:p>
  </w:footnote>
  <w:footnote w:id="8">
    <w:p w:rsidR="00000000" w:rsidRDefault="00D93457">
      <w:pPr>
        <w:pStyle w:val="FootnoteText"/>
      </w:pPr>
      <w:r>
        <w:rPr>
          <w:rStyle w:val="FootnoteReference"/>
        </w:rPr>
        <w:footnoteRef/>
      </w:r>
      <w:r>
        <w:t xml:space="preserve"> Note: 1/2BO </w:t>
      </w:r>
      <w:proofErr w:type="gramStart"/>
      <w:r>
        <w:t>are</w:t>
      </w:r>
      <w:proofErr w:type="gramEnd"/>
      <w:r>
        <w:t xml:space="preserve"> Bonneville Dam exit stations (Appendix B). </w:t>
      </w:r>
    </w:p>
  </w:footnote>
  <w:footnote w:id="9">
    <w:p w:rsidR="00000000" w:rsidRDefault="00D93457">
      <w:pPr>
        <w:pStyle w:val="FootnoteText"/>
      </w:pPr>
      <w:r>
        <w:rPr>
          <w:rStyle w:val="FootnoteReference"/>
        </w:rPr>
        <w:footnoteRef/>
      </w:r>
      <w:r>
        <w:t xml:space="preserve"> Note: Conversion data are based on contacts (3 minute rule); not complete project passage histories.</w:t>
      </w:r>
    </w:p>
  </w:footnote>
  <w:footnote w:id="10">
    <w:p w:rsidR="00000000" w:rsidRDefault="00D93457">
      <w:pPr>
        <w:pStyle w:val="FootnoteText"/>
      </w:pPr>
      <w:r>
        <w:rPr>
          <w:rStyle w:val="FootnoteReference"/>
        </w:rPr>
        <w:footnoteRef/>
      </w:r>
      <w:r>
        <w:t xml:space="preserve"> Reconditioning is the process of feeding kelts in </w:t>
      </w:r>
      <w:r>
        <w:t>a controlled environment until they sexually re-mature.</w:t>
      </w:r>
    </w:p>
  </w:footnote>
  <w:footnote w:id="11">
    <w:p w:rsidR="00000000" w:rsidRDefault="00D93457">
      <w:pPr>
        <w:pStyle w:val="FootnoteText"/>
      </w:pPr>
      <w:r>
        <w:rPr>
          <w:rStyle w:val="FootnoteReference"/>
        </w:rPr>
        <w:footnoteRef/>
      </w:r>
      <w:r>
        <w:t xml:space="preserve"> Kelt attrition was high due to poor condition of tagged hatchery kelts and marginal holding conditions.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Header"/>
      <w:tabs>
        <w:tab w:val="clear" w:pos="4320"/>
        <w:tab w:val="center" w:pos="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3457">
    <w:pPr>
      <w:pStyle w:val="Header"/>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64F3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76A0BA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8C2E7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3E7A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D818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9023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B30B2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0FCF7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2864898"/>
    <w:lvl w:ilvl="0">
      <w:start w:val="1"/>
      <w:numFmt w:val="decimal"/>
      <w:pStyle w:val="ListNumber"/>
      <w:lvlText w:val="%1."/>
      <w:lvlJc w:val="left"/>
      <w:pPr>
        <w:tabs>
          <w:tab w:val="num" w:pos="360"/>
        </w:tabs>
        <w:ind w:left="360" w:hanging="360"/>
      </w:pPr>
    </w:lvl>
  </w:abstractNum>
  <w:abstractNum w:abstractNumId="9">
    <w:nsid w:val="FFFFFF89"/>
    <w:multiLevelType w:val="singleLevel"/>
    <w:tmpl w:val="18B4FC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1189E"/>
    <w:multiLevelType w:val="hybridMultilevel"/>
    <w:tmpl w:val="AA3C4D60"/>
    <w:lvl w:ilvl="0" w:tplc="04090001">
      <w:start w:val="4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3A36E9"/>
    <w:multiLevelType w:val="hybridMultilevel"/>
    <w:tmpl w:val="797641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51F0222"/>
    <w:multiLevelType w:val="hybridMultilevel"/>
    <w:tmpl w:val="8446D3F6"/>
    <w:lvl w:ilvl="0" w:tplc="27D0B2EC">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AE5C46"/>
    <w:multiLevelType w:val="hybridMultilevel"/>
    <w:tmpl w:val="5BE2476E"/>
    <w:lvl w:ilvl="0">
      <w:start w:val="1"/>
      <w:numFmt w:val="decimal"/>
      <w:lvlText w:val="%1)"/>
      <w:lvlJc w:val="left"/>
      <w:pPr>
        <w:tabs>
          <w:tab w:val="num" w:pos="-345"/>
        </w:tabs>
        <w:ind w:left="-345" w:hanging="375"/>
      </w:pPr>
      <w:rPr>
        <w:rFonts w:hint="default"/>
      </w:rPr>
    </w:lvl>
    <w:lvl w:ilvl="1">
      <w:start w:val="1"/>
      <w:numFmt w:val="lowerLetter"/>
      <w:lvlText w:val="%2)"/>
      <w:lvlJc w:val="left"/>
      <w:pPr>
        <w:tabs>
          <w:tab w:val="num" w:pos="360"/>
        </w:tabs>
        <w:ind w:left="360" w:hanging="360"/>
      </w:pPr>
      <w:rPr>
        <w:rFonts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4">
    <w:nsid w:val="699A11E1"/>
    <w:multiLevelType w:val="hybridMultilevel"/>
    <w:tmpl w:val="65607254"/>
    <w:lvl w:ilvl="0" w:tplc="04090001">
      <w:start w:val="49"/>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A76845"/>
    <w:multiLevelType w:val="multilevel"/>
    <w:tmpl w:val="FE164A0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rsids>
    <w:rsidRoot w:val="003623AF"/>
    <w:rsid w:val="003623AF"/>
    <w:rsid w:val="005531A5"/>
    <w:rsid w:val="00D93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720" w:hanging="720"/>
      <w:outlineLvl w:val="0"/>
    </w:pPr>
    <w:rPr>
      <w:b/>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ind w:left="720" w:hanging="720"/>
      <w:jc w:val="center"/>
      <w:outlineLvl w:val="2"/>
    </w:pPr>
    <w:rPr>
      <w:b/>
      <w:sz w:val="28"/>
    </w:rPr>
  </w:style>
  <w:style w:type="paragraph" w:styleId="Heading4">
    <w:name w:val="heading 4"/>
    <w:basedOn w:val="Normal"/>
    <w:next w:val="Normal"/>
    <w:qFormat/>
    <w:pPr>
      <w:keepNext/>
      <w:jc w:val="center"/>
      <w:outlineLvl w:val="3"/>
    </w:pPr>
    <w:rPr>
      <w:b/>
      <w:sz w:val="28"/>
      <w:u w:val="single"/>
    </w:rPr>
  </w:style>
  <w:style w:type="paragraph" w:styleId="Heading5">
    <w:name w:val="heading 5"/>
    <w:basedOn w:val="Normal"/>
    <w:next w:val="Normal"/>
    <w:qFormat/>
    <w:pPr>
      <w:keepNext/>
      <w:jc w:val="right"/>
      <w:outlineLvl w:val="4"/>
    </w:pPr>
    <w:rPr>
      <w:b/>
      <w:sz w:val="20"/>
    </w:rPr>
  </w:style>
  <w:style w:type="paragraph" w:styleId="Heading6">
    <w:name w:val="heading 6"/>
    <w:basedOn w:val="Normal"/>
    <w:next w:val="Normal"/>
    <w:qFormat/>
    <w:pPr>
      <w:keepNext/>
      <w:jc w:val="center"/>
      <w:outlineLvl w:val="5"/>
    </w:pPr>
    <w:rPr>
      <w:b/>
      <w:sz w:val="20"/>
      <w:u w:val="single"/>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firstLine="720"/>
    </w:pPr>
  </w:style>
  <w:style w:type="paragraph" w:styleId="BodyText2">
    <w:name w:val="Body Text 2"/>
    <w:basedOn w:val="Normal"/>
    <w:semiHidden/>
    <w:pPr>
      <w:tabs>
        <w:tab w:val="left" w:pos="0"/>
      </w:tabs>
      <w:outlineLvl w:val="0"/>
    </w:pPr>
    <w:rPr>
      <w:szCs w:val="20"/>
    </w:rPr>
  </w:style>
  <w:style w:type="paragraph" w:styleId="BodyTextIndent2">
    <w:name w:val="Body Text Indent 2"/>
    <w:basedOn w:val="Normal"/>
    <w:semiHidden/>
    <w:pPr>
      <w:ind w:left="720"/>
    </w:pPr>
    <w:rPr>
      <w:szCs w:val="20"/>
    </w:rPr>
  </w:style>
  <w:style w:type="paragraph" w:styleId="BlockText">
    <w:name w:val="Block Text"/>
    <w:basedOn w:val="Normal"/>
    <w:semiHidden/>
    <w:pPr>
      <w:tabs>
        <w:tab w:val="left" w:pos="-720"/>
      </w:tabs>
      <w:ind w:left="-720" w:righ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tabs>
        <w:tab w:val="left" w:pos="-720"/>
        <w:tab w:val="left" w:pos="360"/>
        <w:tab w:val="num" w:pos="1080"/>
      </w:tabs>
      <w:spacing w:line="360" w:lineRule="auto"/>
      <w:ind w:hanging="720"/>
      <w:jc w:val="both"/>
    </w:pPr>
  </w:style>
  <w:style w:type="paragraph" w:styleId="BodyText">
    <w:name w:val="Body Text"/>
    <w:basedOn w:val="Normal"/>
    <w:semiHidden/>
    <w:pPr>
      <w:ind w:right="-720"/>
    </w:pPr>
  </w:style>
  <w:style w:type="paragraph" w:styleId="Subtitle">
    <w:name w:val="Subtitle"/>
    <w:basedOn w:val="Normal"/>
    <w:qFormat/>
    <w:pPr>
      <w:jc w:val="center"/>
    </w:pPr>
    <w:rPr>
      <w:b/>
      <w:sz w:val="20"/>
      <w:u w:val="single"/>
    </w:rPr>
  </w:style>
  <w:style w:type="paragraph" w:styleId="BodyText3">
    <w:name w:val="Body Text 3"/>
    <w:basedOn w:val="Normal"/>
    <w:semiHidden/>
    <w:rPr>
      <w:snapToGrid w:val="0"/>
      <w:color w:val="000000"/>
      <w:sz w:val="28"/>
    </w:rPr>
  </w:style>
  <w:style w:type="paragraph" w:styleId="Title">
    <w:name w:val="Title"/>
    <w:basedOn w:val="Normal"/>
    <w:qFormat/>
    <w:pPr>
      <w:jc w:val="center"/>
    </w:pPr>
    <w:rPr>
      <w:b/>
      <w:sz w:val="20"/>
    </w:rPr>
  </w:style>
  <w:style w:type="paragraph" w:styleId="BodyTextFirstIndent">
    <w:name w:val="Body Text First Indent"/>
    <w:basedOn w:val="BodyText"/>
    <w:semiHidden/>
    <w:pPr>
      <w:spacing w:after="120"/>
      <w:ind w:right="0" w:firstLine="210"/>
    </w:pPr>
  </w:style>
  <w:style w:type="paragraph" w:styleId="BodyTextFirstIndent2">
    <w:name w:val="Body Text First Indent 2"/>
    <w:basedOn w:val="BodyTextIndent"/>
    <w:semiHidden/>
    <w:pPr>
      <w:spacing w:after="120"/>
      <w:ind w:left="360" w:firstLine="210"/>
    </w:pPr>
  </w:style>
  <w:style w:type="paragraph" w:styleId="Caption">
    <w:name w:val="caption"/>
    <w:basedOn w:val="Normal"/>
    <w:next w:val="Normal"/>
    <w:qFormat/>
    <w:pPr>
      <w:spacing w:before="120" w:after="120"/>
    </w:pPr>
    <w:rPr>
      <w:b/>
      <w:bCs/>
      <w:sz w:val="20"/>
      <w:szCs w:val="20"/>
    </w:rPr>
  </w:style>
  <w:style w:type="paragraph" w:styleId="Closing">
    <w:name w:val="Closing"/>
    <w:basedOn w:val="Normal"/>
    <w:semiHidden/>
    <w:pPr>
      <w:ind w:left="4320"/>
    </w:pPr>
  </w:style>
  <w:style w:type="paragraph" w:styleId="CommentText">
    <w:name w:val="annotation text"/>
    <w:basedOn w:val="Normal"/>
    <w:semiHidden/>
    <w:rPr>
      <w:sz w:val="20"/>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szCs w:val="20"/>
    </w:rPr>
  </w:style>
  <w:style w:type="paragraph" w:styleId="FootnoteText">
    <w:name w:val="foot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semiHidden/>
    <w:rPr>
      <w:vertAlign w:val="superscript"/>
    </w:rPr>
  </w:style>
  <w:style w:type="character" w:styleId="EndnoteReference">
    <w:name w:val="endnote reference"/>
    <w:basedOn w:val="DefaultParagraphFont"/>
    <w:semiHidden/>
    <w:rPr>
      <w:vertAlign w:val="superscript"/>
    </w:rPr>
  </w:style>
  <w:style w:type="character" w:styleId="Emphasis">
    <w:name w:val="Emphasis"/>
    <w:basedOn w:val="DefaultParagraphFont"/>
    <w:qFormat/>
    <w:rPr>
      <w:i/>
      <w:iCs/>
    </w:rPr>
  </w:style>
  <w:style w:type="paragraph" w:customStyle="1" w:styleId="xl25">
    <w:name w:val="xl25"/>
    <w:basedOn w:val="Normal"/>
    <w:pPr>
      <w:spacing w:before="100" w:beforeAutospacing="1" w:after="100" w:afterAutospacing="1"/>
    </w:pPr>
  </w:style>
  <w:style w:type="paragraph" w:customStyle="1" w:styleId="xl39">
    <w:name w:val="xl39"/>
    <w:basedOn w:val="Normal"/>
    <w:pPr>
      <w:spacing w:before="100" w:beforeAutospacing="1" w:after="100" w:afterAutospacing="1"/>
    </w:pPr>
    <w:rPr>
      <w:rFonts w:ascii="Arial" w:hAnsi="Arial" w:cs="Arial"/>
      <w:b/>
      <w:bCs/>
    </w:rPr>
  </w:style>
  <w:style w:type="paragraph" w:customStyle="1" w:styleId="font5">
    <w:name w:val="font5"/>
    <w:basedOn w:val="Normal"/>
    <w:pPr>
      <w:spacing w:before="100" w:beforeAutospacing="1" w:after="100" w:afterAutospacing="1"/>
    </w:pPr>
    <w:rPr>
      <w:rFonts w:ascii="Arial" w:hAnsi="Arial" w:cs="Arial"/>
      <w:color w:val="000000"/>
      <w:sz w:val="18"/>
      <w:szCs w:val="18"/>
    </w:rPr>
  </w:style>
  <w:style w:type="paragraph" w:customStyle="1" w:styleId="xl24">
    <w:name w:val="xl24"/>
    <w:basedOn w:val="Normal"/>
    <w:pPr>
      <w:spacing w:before="100" w:beforeAutospacing="1" w:after="100" w:afterAutospacing="1"/>
      <w:jc w:val="center"/>
    </w:pPr>
    <w:rPr>
      <w:rFonts w:ascii="Arial" w:hAnsi="Arial" w:cs="Arial"/>
      <w:b/>
      <w:bCs/>
      <w:color w:val="000000"/>
      <w:u w:val="single"/>
    </w:rPr>
  </w:style>
  <w:style w:type="paragraph" w:customStyle="1" w:styleId="xl26">
    <w:name w:val="xl26"/>
    <w:basedOn w:val="Normal"/>
    <w:pPr>
      <w:spacing w:before="100" w:beforeAutospacing="1" w:after="100" w:afterAutospacing="1"/>
    </w:pPr>
    <w:rPr>
      <w:rFonts w:ascii="Arial" w:hAnsi="Arial" w:cs="Arial"/>
      <w:b/>
      <w:bCs/>
      <w:color w:val="000000"/>
    </w:rPr>
  </w:style>
  <w:style w:type="paragraph" w:customStyle="1" w:styleId="xl27">
    <w:name w:val="xl27"/>
    <w:basedOn w:val="Normal"/>
    <w:pPr>
      <w:spacing w:before="100" w:beforeAutospacing="1" w:after="100" w:afterAutospacing="1"/>
    </w:pPr>
    <w:rPr>
      <w:rFonts w:ascii="Arial" w:hAnsi="Arial" w:cs="Arial"/>
      <w:color w:val="000000"/>
      <w:sz w:val="18"/>
      <w:szCs w:val="18"/>
    </w:rPr>
  </w:style>
  <w:style w:type="paragraph" w:customStyle="1" w:styleId="xl28">
    <w:name w:val="xl28"/>
    <w:basedOn w:val="Normal"/>
    <w:pPr>
      <w:spacing w:before="100" w:beforeAutospacing="1" w:after="100" w:afterAutospacing="1"/>
      <w:jc w:val="center"/>
    </w:pPr>
    <w:rPr>
      <w:rFonts w:ascii="Arial" w:hAnsi="Arial" w:cs="Arial"/>
      <w:color w:val="000000"/>
      <w:sz w:val="18"/>
      <w:szCs w:val="18"/>
    </w:rPr>
  </w:style>
  <w:style w:type="paragraph" w:customStyle="1" w:styleId="xl29">
    <w:name w:val="xl29"/>
    <w:basedOn w:val="Normal"/>
    <w:pPr>
      <w:spacing w:before="100" w:beforeAutospacing="1" w:after="100" w:afterAutospacing="1"/>
      <w:jc w:val="center"/>
    </w:pPr>
    <w:rPr>
      <w:rFonts w:ascii="Arial" w:hAnsi="Arial" w:cs="Arial"/>
      <w:b/>
      <w:bCs/>
      <w:color w:val="000000"/>
    </w:rPr>
  </w:style>
  <w:style w:type="paragraph" w:customStyle="1" w:styleId="xl30">
    <w:name w:val="xl30"/>
    <w:basedOn w:val="Normal"/>
    <w:pPr>
      <w:spacing w:before="100" w:beforeAutospacing="1" w:after="100" w:afterAutospacing="1"/>
    </w:pPr>
    <w:rPr>
      <w:color w:val="000000"/>
    </w:rPr>
  </w:style>
  <w:style w:type="paragraph" w:customStyle="1" w:styleId="xl31">
    <w:name w:val="xl31"/>
    <w:basedOn w:val="Normal"/>
    <w:pPr>
      <w:spacing w:before="100" w:beforeAutospacing="1" w:after="100" w:afterAutospacing="1"/>
    </w:pPr>
    <w:rPr>
      <w:rFonts w:ascii="Arial" w:hAnsi="Arial" w:cs="Arial"/>
      <w:b/>
      <w:bCs/>
      <w:color w:val="000000"/>
      <w:sz w:val="18"/>
      <w:szCs w:val="18"/>
    </w:rPr>
  </w:style>
  <w:style w:type="paragraph" w:customStyle="1" w:styleId="xl32">
    <w:name w:val="xl32"/>
    <w:basedOn w:val="Normal"/>
    <w:pPr>
      <w:spacing w:before="100" w:beforeAutospacing="1" w:after="100" w:afterAutospacing="1"/>
    </w:pPr>
    <w:rPr>
      <w:rFonts w:ascii="Arial" w:hAnsi="Arial" w:cs="Arial"/>
      <w:color w:val="000000"/>
    </w:rPr>
  </w:style>
  <w:style w:type="paragraph" w:customStyle="1" w:styleId="xl33">
    <w:name w:val="xl33"/>
    <w:basedOn w:val="Normal"/>
    <w:pPr>
      <w:spacing w:before="100" w:beforeAutospacing="1" w:after="100" w:afterAutospacing="1"/>
      <w:jc w:val="center"/>
    </w:pPr>
    <w:rPr>
      <w:rFonts w:ascii="Arial" w:hAnsi="Arial" w:cs="Arial"/>
      <w:color w:val="000000"/>
    </w:rPr>
  </w:style>
  <w:style w:type="paragraph" w:styleId="BalloonText">
    <w:name w:val="Balloon Text"/>
    <w:basedOn w:val="Normal"/>
    <w:link w:val="BalloonTextChar"/>
    <w:uiPriority w:val="99"/>
    <w:semiHidden/>
    <w:unhideWhenUsed/>
    <w:rsid w:val="005531A5"/>
    <w:rPr>
      <w:rFonts w:ascii="Tahoma" w:hAnsi="Tahoma" w:cs="Tahoma"/>
      <w:sz w:val="16"/>
      <w:szCs w:val="16"/>
    </w:rPr>
  </w:style>
  <w:style w:type="character" w:customStyle="1" w:styleId="BalloonTextChar">
    <w:name w:val="Balloon Text Char"/>
    <w:basedOn w:val="DefaultParagraphFont"/>
    <w:link w:val="BalloonText"/>
    <w:uiPriority w:val="99"/>
    <w:semiHidden/>
    <w:rsid w:val="005531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4.png"/><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chart" Target="charts/chart2.xml"/><Relationship Id="rId28" Type="http://schemas.openxmlformats.org/officeDocument/2006/relationships/image" Target="media/image9.wmf"/><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oleObject" Target="embeddings/oleObject5.bin"/><Relationship Id="rId30"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8339222614841006E-2"/>
          <c:y val="0.15000000000000005"/>
          <c:w val="0.68904593639575995"/>
          <c:h val="0.54666666666666652"/>
        </c:manualLayout>
      </c:layout>
      <c:barChart>
        <c:barDir val="col"/>
        <c:grouping val="clustered"/>
        <c:ser>
          <c:idx val="1"/>
          <c:order val="0"/>
          <c:tx>
            <c:v>Total</c:v>
          </c:tx>
          <c:spPr>
            <a:solidFill>
              <a:srgbClr val="993366"/>
            </a:solidFill>
            <a:ln w="12700">
              <a:solidFill>
                <a:srgbClr val="000000"/>
              </a:solidFill>
              <a:prstDash val="solid"/>
            </a:ln>
          </c:spPr>
          <c:cat>
            <c:strRef>
              <c:f>Sheet1!$A$1232:$A$1241</c:f>
              <c:strCache>
                <c:ptCount val="10"/>
                <c:pt idx="0">
                  <c:v>4/2 - 4/8</c:v>
                </c:pt>
                <c:pt idx="1">
                  <c:v>4/9 - 4/15</c:v>
                </c:pt>
                <c:pt idx="2">
                  <c:v>4/16 - 4/22</c:v>
                </c:pt>
                <c:pt idx="3">
                  <c:v>4/23 - 4/26</c:v>
                </c:pt>
                <c:pt idx="4">
                  <c:v>4/30 - 5/2</c:v>
                </c:pt>
                <c:pt idx="5">
                  <c:v>5/7 - 5/12</c:v>
                </c:pt>
                <c:pt idx="6">
                  <c:v>5/14 - 5/20</c:v>
                </c:pt>
                <c:pt idx="7">
                  <c:v>5/21 - 5/27</c:v>
                </c:pt>
                <c:pt idx="8">
                  <c:v>5/28 - 6/3</c:v>
                </c:pt>
                <c:pt idx="9">
                  <c:v>6/4 - 6/10</c:v>
                </c:pt>
              </c:strCache>
            </c:strRef>
          </c:cat>
          <c:val>
            <c:numRef>
              <c:f>Sheet1!$B$1232:$B$1241</c:f>
              <c:numCache>
                <c:formatCode>General</c:formatCode>
                <c:ptCount val="10"/>
                <c:pt idx="0">
                  <c:v>101.5</c:v>
                </c:pt>
                <c:pt idx="1">
                  <c:v>162.75</c:v>
                </c:pt>
                <c:pt idx="2">
                  <c:v>243.25</c:v>
                </c:pt>
                <c:pt idx="3">
                  <c:v>316.75</c:v>
                </c:pt>
                <c:pt idx="4">
                  <c:v>310.31</c:v>
                </c:pt>
                <c:pt idx="5">
                  <c:v>271.25</c:v>
                </c:pt>
                <c:pt idx="6">
                  <c:v>248.5</c:v>
                </c:pt>
                <c:pt idx="7">
                  <c:v>379.75</c:v>
                </c:pt>
                <c:pt idx="8">
                  <c:v>81.669999999999987</c:v>
                </c:pt>
                <c:pt idx="9">
                  <c:v>23.330000000000005</c:v>
                </c:pt>
              </c:numCache>
            </c:numRef>
          </c:val>
        </c:ser>
        <c:axId val="173897600"/>
        <c:axId val="173994752"/>
      </c:barChart>
      <c:lineChart>
        <c:grouping val="standard"/>
        <c:ser>
          <c:idx val="0"/>
          <c:order val="1"/>
          <c:tx>
            <c:v>Percent</c:v>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dLbls>
          <c:cat>
            <c:strRef>
              <c:f>Sheet1!$A$1232:$A$1241</c:f>
              <c:strCache>
                <c:ptCount val="10"/>
                <c:pt idx="0">
                  <c:v>4/2 - 4/8</c:v>
                </c:pt>
                <c:pt idx="1">
                  <c:v>4/9 - 4/15</c:v>
                </c:pt>
                <c:pt idx="2">
                  <c:v>4/16 - 4/22</c:v>
                </c:pt>
                <c:pt idx="3">
                  <c:v>4/23 - 4/26</c:v>
                </c:pt>
                <c:pt idx="4">
                  <c:v>4/30 - 5/2</c:v>
                </c:pt>
                <c:pt idx="5">
                  <c:v>5/7 - 5/12</c:v>
                </c:pt>
                <c:pt idx="6">
                  <c:v>5/14 - 5/20</c:v>
                </c:pt>
                <c:pt idx="7">
                  <c:v>5/21 - 5/27</c:v>
                </c:pt>
                <c:pt idx="8">
                  <c:v>5/28 - 6/3</c:v>
                </c:pt>
                <c:pt idx="9">
                  <c:v>6/4 - 6/10</c:v>
                </c:pt>
              </c:strCache>
            </c:strRef>
          </c:cat>
          <c:val>
            <c:numRef>
              <c:f>Sheet1!$C$1232:$C$1241</c:f>
              <c:numCache>
                <c:formatCode>0%</c:formatCode>
                <c:ptCount val="10"/>
                <c:pt idx="0">
                  <c:v>0.56999999999999995</c:v>
                </c:pt>
                <c:pt idx="1">
                  <c:v>0.56999999999999995</c:v>
                </c:pt>
                <c:pt idx="2">
                  <c:v>0.56999999999999995</c:v>
                </c:pt>
                <c:pt idx="3">
                  <c:v>0.56999999999999995</c:v>
                </c:pt>
                <c:pt idx="4">
                  <c:v>0.4300000000000001</c:v>
                </c:pt>
                <c:pt idx="5">
                  <c:v>0.56999999999999995</c:v>
                </c:pt>
                <c:pt idx="6">
                  <c:v>0.56999999999999995</c:v>
                </c:pt>
                <c:pt idx="7">
                  <c:v>0.56999999999999995</c:v>
                </c:pt>
                <c:pt idx="8">
                  <c:v>0.4300000000000001</c:v>
                </c:pt>
                <c:pt idx="9">
                  <c:v>0.4300000000000001</c:v>
                </c:pt>
              </c:numCache>
            </c:numRef>
          </c:val>
        </c:ser>
        <c:marker val="1"/>
        <c:axId val="173997056"/>
        <c:axId val="174593152"/>
      </c:lineChart>
      <c:catAx>
        <c:axId val="173897600"/>
        <c:scaling>
          <c:orientation val="minMax"/>
        </c:scaling>
        <c:axPos val="b"/>
        <c:title>
          <c:tx>
            <c:rich>
              <a:bodyPr/>
              <a:lstStyle/>
              <a:p>
                <a:pPr>
                  <a:defRPr sz="900" b="1" i="0" u="none" strike="noStrike" baseline="0">
                    <a:solidFill>
                      <a:srgbClr val="000000"/>
                    </a:solidFill>
                    <a:latin typeface="Arial"/>
                    <a:ea typeface="Arial"/>
                    <a:cs typeface="Arial"/>
                  </a:defRPr>
                </a:pPr>
                <a:r>
                  <a:rPr lang="en-US"/>
                  <a:t>Date</a:t>
                </a:r>
              </a:p>
            </c:rich>
          </c:tx>
          <c:layout>
            <c:manualLayout>
              <c:xMode val="edge"/>
              <c:yMode val="edge"/>
              <c:x val="0.40459363957597172"/>
              <c:y val="0.89"/>
            </c:manualLayout>
          </c:layout>
          <c:spPr>
            <a:noFill/>
            <a:ln w="25400">
              <a:noFill/>
            </a:ln>
          </c:spPr>
        </c:title>
        <c:numFmt formatCode="General" sourceLinked="1"/>
        <c:majorTickMark val="cross"/>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173994752"/>
        <c:crosses val="autoZero"/>
        <c:lblAlgn val="ctr"/>
        <c:lblOffset val="100"/>
        <c:tickLblSkip val="1"/>
        <c:tickMarkSkip val="1"/>
      </c:catAx>
      <c:valAx>
        <c:axId val="173994752"/>
        <c:scaling>
          <c:orientation val="minMax"/>
        </c:scaling>
        <c:axPos val="l"/>
        <c:title>
          <c:tx>
            <c:rich>
              <a:bodyPr/>
              <a:lstStyle/>
              <a:p>
                <a:pPr>
                  <a:defRPr sz="800" b="0" i="0" u="none" strike="noStrike" baseline="0">
                    <a:solidFill>
                      <a:srgbClr val="000000"/>
                    </a:solidFill>
                    <a:latin typeface="Arial"/>
                    <a:ea typeface="Arial"/>
                    <a:cs typeface="Arial"/>
                  </a:defRPr>
                </a:pPr>
                <a:r>
                  <a:rPr lang="en-US"/>
                  <a:t>Total Steelhead</a:t>
                </a:r>
              </a:p>
            </c:rich>
          </c:tx>
          <c:layout>
            <c:manualLayout>
              <c:xMode val="edge"/>
              <c:yMode val="edge"/>
              <c:x val="0"/>
              <c:y val="0.29000000000000009"/>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3897600"/>
        <c:crosses val="autoZero"/>
        <c:crossBetween val="between"/>
      </c:valAx>
      <c:catAx>
        <c:axId val="173997056"/>
        <c:scaling>
          <c:orientation val="minMax"/>
        </c:scaling>
        <c:delete val="1"/>
        <c:axPos val="b"/>
        <c:tickLblPos val="none"/>
        <c:crossAx val="174593152"/>
        <c:crosses val="autoZero"/>
        <c:lblAlgn val="ctr"/>
        <c:lblOffset val="100"/>
      </c:catAx>
      <c:valAx>
        <c:axId val="174593152"/>
        <c:scaling>
          <c:orientation val="minMax"/>
        </c:scaling>
        <c:axPos val="r"/>
        <c:title>
          <c:tx>
            <c:rich>
              <a:bodyPr/>
              <a:lstStyle/>
              <a:p>
                <a:pPr>
                  <a:defRPr sz="800" b="0" i="0" u="none" strike="noStrike" baseline="0">
                    <a:solidFill>
                      <a:srgbClr val="000000"/>
                    </a:solidFill>
                    <a:latin typeface="Arial"/>
                    <a:ea typeface="Arial"/>
                    <a:cs typeface="Arial"/>
                  </a:defRPr>
                </a:pPr>
                <a:r>
                  <a:rPr lang="en-US"/>
                  <a:t>Proportion Sampled</a:t>
                </a:r>
              </a:p>
            </c:rich>
          </c:tx>
          <c:layout>
            <c:manualLayout>
              <c:xMode val="edge"/>
              <c:yMode val="edge"/>
              <c:x val="0.83215547703180248"/>
              <c:y val="0.26"/>
            </c:manualLayout>
          </c:layout>
          <c:spPr>
            <a:noFill/>
            <a:ln w="25400">
              <a:noFill/>
            </a:ln>
          </c:spPr>
        </c:title>
        <c:numFmt formatCode="0%"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3997056"/>
        <c:crosses val="max"/>
        <c:crossBetween val="between"/>
      </c:valAx>
      <c:spPr>
        <a:solidFill>
          <a:srgbClr val="C0C0C0"/>
        </a:solidFill>
        <a:ln w="12700">
          <a:solidFill>
            <a:srgbClr val="808080"/>
          </a:solidFill>
          <a:prstDash val="solid"/>
        </a:ln>
      </c:spPr>
    </c:plotArea>
    <c:legend>
      <c:legendPos val="r"/>
      <c:layout>
        <c:manualLayout>
          <c:xMode val="edge"/>
          <c:yMode val="edge"/>
          <c:x val="0.85335689045936391"/>
          <c:y val="0.12666666666666668"/>
          <c:w val="0.14134275618374559"/>
          <c:h val="0.1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9965397923875493E-2"/>
          <c:y val="0.10163934426229509"/>
          <c:w val="0.71453287197231807"/>
          <c:h val="0.59344262295081951"/>
        </c:manualLayout>
      </c:layout>
      <c:barChart>
        <c:barDir val="col"/>
        <c:grouping val="clustered"/>
        <c:ser>
          <c:idx val="1"/>
          <c:order val="0"/>
          <c:tx>
            <c:strRef>
              <c:f>Sheet1!$M$7</c:f>
              <c:strCache>
                <c:ptCount val="1"/>
                <c:pt idx="0">
                  <c:v>Total</c:v>
                </c:pt>
              </c:strCache>
            </c:strRef>
          </c:tx>
          <c:spPr>
            <a:gradFill rotWithShape="0">
              <a:gsLst>
                <a:gs pos="0">
                  <a:srgbClr val="993366"/>
                </a:gs>
                <a:gs pos="100000">
                  <a:srgbClr val="993366">
                    <a:gamma/>
                    <a:shade val="46275"/>
                    <a:invGamma/>
                  </a:srgbClr>
                </a:gs>
              </a:gsLst>
              <a:lin ang="5400000" scaled="1"/>
            </a:gradFill>
            <a:ln w="12711">
              <a:solidFill>
                <a:srgbClr val="000000"/>
              </a:solidFill>
              <a:prstDash val="solid"/>
            </a:ln>
          </c:spPr>
          <c:cat>
            <c:strRef>
              <c:f>Sheet1!$L$8:$L$16</c:f>
              <c:strCache>
                <c:ptCount val="9"/>
                <c:pt idx="0">
                  <c:v>4/1 - 4/7</c:v>
                </c:pt>
                <c:pt idx="1">
                  <c:v>4/8 - 4/14</c:v>
                </c:pt>
                <c:pt idx="2">
                  <c:v>4/15 - 4/21</c:v>
                </c:pt>
                <c:pt idx="3">
                  <c:v>4/22 - 4/28</c:v>
                </c:pt>
                <c:pt idx="4">
                  <c:v>4/29 - 5/5</c:v>
                </c:pt>
                <c:pt idx="5">
                  <c:v>5/6 - 5/12</c:v>
                </c:pt>
                <c:pt idx="6">
                  <c:v>5/13 - 5/19</c:v>
                </c:pt>
                <c:pt idx="7">
                  <c:v>5/20 - 5/26</c:v>
                </c:pt>
                <c:pt idx="8">
                  <c:v>5/27 - 6/2</c:v>
                </c:pt>
              </c:strCache>
            </c:strRef>
          </c:cat>
          <c:val>
            <c:numRef>
              <c:f>Sheet1!$M$8:$M$16</c:f>
              <c:numCache>
                <c:formatCode>General</c:formatCode>
                <c:ptCount val="9"/>
                <c:pt idx="0">
                  <c:v>218</c:v>
                </c:pt>
                <c:pt idx="1">
                  <c:v>243</c:v>
                </c:pt>
                <c:pt idx="2">
                  <c:v>237</c:v>
                </c:pt>
                <c:pt idx="3">
                  <c:v>237</c:v>
                </c:pt>
                <c:pt idx="4">
                  <c:v>326</c:v>
                </c:pt>
                <c:pt idx="5">
                  <c:v>226</c:v>
                </c:pt>
                <c:pt idx="6">
                  <c:v>305</c:v>
                </c:pt>
                <c:pt idx="7">
                  <c:v>340</c:v>
                </c:pt>
                <c:pt idx="8">
                  <c:v>258</c:v>
                </c:pt>
              </c:numCache>
            </c:numRef>
          </c:val>
        </c:ser>
        <c:axId val="173882368"/>
        <c:axId val="173888640"/>
      </c:barChart>
      <c:lineChart>
        <c:grouping val="standard"/>
        <c:ser>
          <c:idx val="0"/>
          <c:order val="1"/>
          <c:tx>
            <c:strRef>
              <c:f>Sheet1!$N$7</c:f>
              <c:strCache>
                <c:ptCount val="1"/>
                <c:pt idx="0">
                  <c:v>Percent</c:v>
                </c:pt>
              </c:strCache>
            </c:strRef>
          </c:tx>
          <c:spPr>
            <a:ln w="12711">
              <a:solidFill>
                <a:srgbClr val="000080"/>
              </a:solidFill>
              <a:prstDash val="solid"/>
            </a:ln>
          </c:spPr>
          <c:marker>
            <c:symbol val="diamond"/>
            <c:size val="5"/>
            <c:spPr>
              <a:solidFill>
                <a:srgbClr val="000080"/>
              </a:solidFill>
              <a:ln>
                <a:solidFill>
                  <a:srgbClr val="000080"/>
                </a:solidFill>
                <a:prstDash val="solid"/>
              </a:ln>
            </c:spPr>
          </c:marker>
          <c:dLbls>
            <c:spPr>
              <a:noFill/>
              <a:ln w="25422">
                <a:noFill/>
              </a:ln>
            </c:spPr>
            <c:txPr>
              <a:bodyPr/>
              <a:lstStyle/>
              <a:p>
                <a:pPr>
                  <a:defRPr sz="801" b="0" i="0" u="none" strike="noStrike" baseline="0">
                    <a:solidFill>
                      <a:srgbClr val="000000"/>
                    </a:solidFill>
                    <a:latin typeface="Arial"/>
                    <a:ea typeface="Arial"/>
                    <a:cs typeface="Arial"/>
                  </a:defRPr>
                </a:pPr>
                <a:endParaRPr lang="en-US"/>
              </a:p>
            </c:txPr>
            <c:showVal val="1"/>
          </c:dLbls>
          <c:cat>
            <c:strRef>
              <c:f>Sheet1!$L$8:$L$16</c:f>
              <c:strCache>
                <c:ptCount val="9"/>
                <c:pt idx="0">
                  <c:v>4/1 - 4/7</c:v>
                </c:pt>
                <c:pt idx="1">
                  <c:v>4/8 - 4/14</c:v>
                </c:pt>
                <c:pt idx="2">
                  <c:v>4/15 - 4/21</c:v>
                </c:pt>
                <c:pt idx="3">
                  <c:v>4/22 - 4/28</c:v>
                </c:pt>
                <c:pt idx="4">
                  <c:v>4/29 - 5/5</c:v>
                </c:pt>
                <c:pt idx="5">
                  <c:v>5/6 - 5/12</c:v>
                </c:pt>
                <c:pt idx="6">
                  <c:v>5/13 - 5/19</c:v>
                </c:pt>
                <c:pt idx="7">
                  <c:v>5/20 - 5/26</c:v>
                </c:pt>
                <c:pt idx="8">
                  <c:v>5/27 - 6/2</c:v>
                </c:pt>
              </c:strCache>
            </c:strRef>
          </c:cat>
          <c:val>
            <c:numRef>
              <c:f>Sheet1!$N$8:$N$16</c:f>
              <c:numCache>
                <c:formatCode>0%</c:formatCode>
                <c:ptCount val="9"/>
                <c:pt idx="0">
                  <c:v>9.0000000000000024E-2</c:v>
                </c:pt>
                <c:pt idx="1">
                  <c:v>0.17</c:v>
                </c:pt>
                <c:pt idx="2">
                  <c:v>0.15000000000000005</c:v>
                </c:pt>
                <c:pt idx="3">
                  <c:v>0.13</c:v>
                </c:pt>
                <c:pt idx="4">
                  <c:v>0.14000000000000001</c:v>
                </c:pt>
                <c:pt idx="5">
                  <c:v>0.13</c:v>
                </c:pt>
                <c:pt idx="6">
                  <c:v>0.23</c:v>
                </c:pt>
                <c:pt idx="7">
                  <c:v>0.23</c:v>
                </c:pt>
                <c:pt idx="8">
                  <c:v>0.14000000000000001</c:v>
                </c:pt>
              </c:numCache>
            </c:numRef>
          </c:val>
        </c:ser>
        <c:marker val="1"/>
        <c:axId val="173890560"/>
        <c:axId val="173900544"/>
      </c:lineChart>
      <c:catAx>
        <c:axId val="173882368"/>
        <c:scaling>
          <c:orientation val="minMax"/>
        </c:scaling>
        <c:axPos val="b"/>
        <c:title>
          <c:tx>
            <c:rich>
              <a:bodyPr/>
              <a:lstStyle/>
              <a:p>
                <a:pPr>
                  <a:defRPr sz="901" b="1" i="0" u="none" strike="noStrike" baseline="0">
                    <a:solidFill>
                      <a:srgbClr val="000000"/>
                    </a:solidFill>
                    <a:latin typeface="Arial"/>
                    <a:ea typeface="Arial"/>
                    <a:cs typeface="Arial"/>
                  </a:defRPr>
                </a:pPr>
                <a:r>
                  <a:rPr lang="en-US"/>
                  <a:t>Date</a:t>
                </a:r>
              </a:p>
            </c:rich>
          </c:tx>
          <c:layout>
            <c:manualLayout>
              <c:xMode val="edge"/>
              <c:yMode val="edge"/>
              <c:x val="0.41868512110726652"/>
              <c:y val="0.88524590163934425"/>
            </c:manualLayout>
          </c:layout>
          <c:spPr>
            <a:noFill/>
            <a:ln w="25422">
              <a:noFill/>
            </a:ln>
          </c:spPr>
        </c:title>
        <c:numFmt formatCode="General" sourceLinked="1"/>
        <c:majorTickMark val="cross"/>
        <c:tickLblPos val="nextTo"/>
        <c:spPr>
          <a:ln w="3178">
            <a:solidFill>
              <a:srgbClr val="000000"/>
            </a:solidFill>
            <a:prstDash val="solid"/>
          </a:ln>
        </c:spPr>
        <c:txPr>
          <a:bodyPr rot="2700000" vert="horz"/>
          <a:lstStyle/>
          <a:p>
            <a:pPr>
              <a:defRPr sz="801" b="0" i="0" u="none" strike="noStrike" baseline="0">
                <a:solidFill>
                  <a:srgbClr val="000000"/>
                </a:solidFill>
                <a:latin typeface="Arial"/>
                <a:ea typeface="Arial"/>
                <a:cs typeface="Arial"/>
              </a:defRPr>
            </a:pPr>
            <a:endParaRPr lang="en-US"/>
          </a:p>
        </c:txPr>
        <c:crossAx val="173888640"/>
        <c:crosses val="autoZero"/>
        <c:lblAlgn val="ctr"/>
        <c:lblOffset val="100"/>
        <c:tickLblSkip val="1"/>
        <c:tickMarkSkip val="1"/>
      </c:catAx>
      <c:valAx>
        <c:axId val="173888640"/>
        <c:scaling>
          <c:orientation val="minMax"/>
        </c:scaling>
        <c:axPos val="l"/>
        <c:title>
          <c:tx>
            <c:rich>
              <a:bodyPr/>
              <a:lstStyle/>
              <a:p>
                <a:pPr>
                  <a:defRPr sz="801" b="0" i="0" u="none" strike="noStrike" baseline="0">
                    <a:solidFill>
                      <a:srgbClr val="000000"/>
                    </a:solidFill>
                    <a:latin typeface="Arial"/>
                    <a:ea typeface="Arial"/>
                    <a:cs typeface="Arial"/>
                  </a:defRPr>
                </a:pPr>
                <a:r>
                  <a:rPr lang="en-US"/>
                  <a:t>Total Steelhead </a:t>
                </a:r>
              </a:p>
            </c:rich>
          </c:tx>
          <c:layout>
            <c:manualLayout>
              <c:xMode val="edge"/>
              <c:yMode val="edge"/>
              <c:x val="3.4602076124567484E-3"/>
              <c:y val="0.26557377049180331"/>
            </c:manualLayout>
          </c:layout>
          <c:spPr>
            <a:noFill/>
            <a:ln w="25422">
              <a:noFill/>
            </a:ln>
          </c:spPr>
        </c:title>
        <c:numFmt formatCode="General" sourceLinked="1"/>
        <c:majorTickMark val="cross"/>
        <c:tickLblPos val="nextTo"/>
        <c:spPr>
          <a:ln w="3178">
            <a:solidFill>
              <a:srgbClr val="000000"/>
            </a:solidFill>
            <a:prstDash val="solid"/>
          </a:ln>
        </c:spPr>
        <c:txPr>
          <a:bodyPr rot="0" vert="horz"/>
          <a:lstStyle/>
          <a:p>
            <a:pPr>
              <a:defRPr sz="801" b="0" i="0" u="none" strike="noStrike" baseline="0">
                <a:solidFill>
                  <a:srgbClr val="000000"/>
                </a:solidFill>
                <a:latin typeface="Arial"/>
                <a:ea typeface="Arial"/>
                <a:cs typeface="Arial"/>
              </a:defRPr>
            </a:pPr>
            <a:endParaRPr lang="en-US"/>
          </a:p>
        </c:txPr>
        <c:crossAx val="173882368"/>
        <c:crosses val="autoZero"/>
        <c:crossBetween val="between"/>
      </c:valAx>
      <c:catAx>
        <c:axId val="173890560"/>
        <c:scaling>
          <c:orientation val="minMax"/>
        </c:scaling>
        <c:delete val="1"/>
        <c:axPos val="b"/>
        <c:tickLblPos val="none"/>
        <c:crossAx val="173900544"/>
        <c:crosses val="autoZero"/>
        <c:lblAlgn val="ctr"/>
        <c:lblOffset val="100"/>
      </c:catAx>
      <c:valAx>
        <c:axId val="173900544"/>
        <c:scaling>
          <c:orientation val="minMax"/>
        </c:scaling>
        <c:axPos val="r"/>
        <c:title>
          <c:tx>
            <c:rich>
              <a:bodyPr/>
              <a:lstStyle/>
              <a:p>
                <a:pPr>
                  <a:defRPr sz="801" b="0" i="0" u="none" strike="noStrike" baseline="0">
                    <a:solidFill>
                      <a:srgbClr val="000000"/>
                    </a:solidFill>
                    <a:latin typeface="Arial"/>
                    <a:ea typeface="Arial"/>
                    <a:cs typeface="Arial"/>
                  </a:defRPr>
                </a:pPr>
                <a:r>
                  <a:rPr lang="en-US"/>
                  <a:t>Proportion Sampled</a:t>
                </a:r>
              </a:p>
            </c:rich>
          </c:tx>
          <c:layout>
            <c:manualLayout>
              <c:xMode val="edge"/>
              <c:yMode val="edge"/>
              <c:x val="0.85813148788927363"/>
              <c:y val="0.23606557377049187"/>
            </c:manualLayout>
          </c:layout>
          <c:spPr>
            <a:noFill/>
            <a:ln w="25422">
              <a:noFill/>
            </a:ln>
          </c:spPr>
        </c:title>
        <c:numFmt formatCode="0%" sourceLinked="1"/>
        <c:majorTickMark val="cross"/>
        <c:tickLblPos val="nextTo"/>
        <c:spPr>
          <a:ln w="3178">
            <a:solidFill>
              <a:srgbClr val="000000"/>
            </a:solidFill>
            <a:prstDash val="solid"/>
          </a:ln>
        </c:spPr>
        <c:txPr>
          <a:bodyPr rot="0" vert="horz"/>
          <a:lstStyle/>
          <a:p>
            <a:pPr>
              <a:defRPr sz="801" b="0" i="0" u="none" strike="noStrike" baseline="0">
                <a:solidFill>
                  <a:srgbClr val="000000"/>
                </a:solidFill>
                <a:latin typeface="Arial"/>
                <a:ea typeface="Arial"/>
                <a:cs typeface="Arial"/>
              </a:defRPr>
            </a:pPr>
            <a:endParaRPr lang="en-US"/>
          </a:p>
        </c:txPr>
        <c:crossAx val="173890560"/>
        <c:crosses val="max"/>
        <c:crossBetween val="between"/>
      </c:valAx>
      <c:spPr>
        <a:solidFill>
          <a:srgbClr val="C0C0C0"/>
        </a:solidFill>
        <a:ln w="12711">
          <a:solidFill>
            <a:srgbClr val="808080"/>
          </a:solidFill>
          <a:prstDash val="solid"/>
        </a:ln>
      </c:spPr>
    </c:plotArea>
    <c:legend>
      <c:legendPos val="r"/>
      <c:layout>
        <c:manualLayout>
          <c:xMode val="edge"/>
          <c:yMode val="edge"/>
          <c:x val="0.86159169550173031"/>
          <c:y val="8.5245901639344229E-2"/>
          <c:w val="0.13840830449826996"/>
          <c:h val="0.11147540983606558"/>
        </c:manualLayout>
      </c:layout>
      <c:spPr>
        <a:solidFill>
          <a:srgbClr val="FFFFFF"/>
        </a:solidFill>
        <a:ln w="3178">
          <a:solidFill>
            <a:srgbClr val="000000"/>
          </a:solidFill>
          <a:prstDash val="solid"/>
        </a:ln>
      </c:spPr>
      <c:txPr>
        <a:bodyPr/>
        <a:lstStyle/>
        <a:p>
          <a:pPr>
            <a:defRPr sz="736"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001"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11240</Words>
  <Characters>64071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Executive Summary</vt:lpstr>
    </vt:vector>
  </TitlesOfParts>
  <Company>Your Company Name</Company>
  <LinksUpToDate>false</LinksUpToDate>
  <CharactersWithSpaces>75161</CharactersWithSpaces>
  <SharedDoc>false</SharedDoc>
  <HLinks>
    <vt:vector size="24" baseType="variant">
      <vt:variant>
        <vt:i4>4259856</vt:i4>
      </vt:variant>
      <vt:variant>
        <vt:i4>1155</vt:i4>
      </vt:variant>
      <vt:variant>
        <vt:i4>1025</vt:i4>
      </vt:variant>
      <vt:variant>
        <vt:i4>1</vt:i4>
      </vt:variant>
      <vt:variant>
        <vt:lpwstr>IMAGES\Kelt 2001\4597-23.jpg</vt:lpwstr>
      </vt:variant>
      <vt:variant>
        <vt:lpwstr/>
      </vt:variant>
      <vt:variant>
        <vt:i4>1638522</vt:i4>
      </vt:variant>
      <vt:variant>
        <vt:i4>46315</vt:i4>
      </vt:variant>
      <vt:variant>
        <vt:i4>1026</vt:i4>
      </vt:variant>
      <vt:variant>
        <vt:i4>1</vt:i4>
      </vt:variant>
      <vt:variant>
        <vt:lpwstr>F:\Kpicb1.bmp</vt:lpwstr>
      </vt:variant>
      <vt:variant>
        <vt:lpwstr/>
      </vt:variant>
      <vt:variant>
        <vt:i4>2687064</vt:i4>
      </vt:variant>
      <vt:variant>
        <vt:i4>47933</vt:i4>
      </vt:variant>
      <vt:variant>
        <vt:i4>1027</vt:i4>
      </vt:variant>
      <vt:variant>
        <vt:i4>1</vt:i4>
      </vt:variant>
      <vt:variant>
        <vt:lpwstr>F:\Kpicb2a.bmp</vt:lpwstr>
      </vt:variant>
      <vt:variant>
        <vt:lpwstr/>
      </vt:variant>
      <vt:variant>
        <vt:i4>8192068</vt:i4>
      </vt:variant>
      <vt:variant>
        <vt:i4>-1</vt:i4>
      </vt:variant>
      <vt:variant>
        <vt:i4>1045</vt:i4>
      </vt:variant>
      <vt:variant>
        <vt:i4>1</vt:i4>
      </vt:variant>
      <vt:variant>
        <vt:lpwstr>C:\WINDOWS\TEMP\~AUT0000.bmp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Valued Gateway Client</dc:creator>
  <cp:keywords/>
  <dc:description/>
  <cp:lastModifiedBy>g2odsplm</cp:lastModifiedBy>
  <cp:revision>4</cp:revision>
  <cp:lastPrinted>2002-11-06T16:19:00Z</cp:lastPrinted>
  <dcterms:created xsi:type="dcterms:W3CDTF">2012-04-24T00:15:00Z</dcterms:created>
  <dcterms:modified xsi:type="dcterms:W3CDTF">2012-04-24T00:19:00Z</dcterms:modified>
</cp:coreProperties>
</file>